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CACF" w14:textId="77777777" w:rsidR="00371D75" w:rsidRPr="00FE52B3" w:rsidRDefault="00091E27" w:rsidP="00FE52B3">
      <w:pPr>
        <w:jc w:val="center"/>
        <w:rPr>
          <w:rFonts w:ascii="Book Antiqua" w:hAnsi="Book Antiqua"/>
          <w:b/>
          <w:sz w:val="24"/>
          <w:szCs w:val="24"/>
        </w:rPr>
      </w:pPr>
      <w:r w:rsidRPr="00FE52B3">
        <w:rPr>
          <w:rFonts w:ascii="Book Antiqua" w:hAnsi="Book Antiqua"/>
          <w:b/>
          <w:sz w:val="24"/>
          <w:szCs w:val="24"/>
        </w:rPr>
        <w:t>Appendix D – ACO Initiatives to Address All-Payer ACO Model Quality Measures</w:t>
      </w:r>
    </w:p>
    <w:tbl>
      <w:tblPr>
        <w:tblStyle w:val="TableGrid"/>
        <w:tblW w:w="13225" w:type="dxa"/>
        <w:tblLook w:val="04A0" w:firstRow="1" w:lastRow="0" w:firstColumn="1" w:lastColumn="0" w:noHBand="0" w:noVBand="1"/>
      </w:tblPr>
      <w:tblGrid>
        <w:gridCol w:w="3116"/>
        <w:gridCol w:w="4979"/>
        <w:gridCol w:w="5130"/>
      </w:tblGrid>
      <w:tr w:rsidR="00091E27" w:rsidRPr="00FE52B3" w14:paraId="484F7634" w14:textId="77777777" w:rsidTr="1687F000">
        <w:trPr>
          <w:tblHeader/>
        </w:trPr>
        <w:tc>
          <w:tcPr>
            <w:tcW w:w="3116" w:type="dxa"/>
            <w:shd w:val="clear" w:color="auto" w:fill="BDD6EE" w:themeFill="accent1" w:themeFillTint="66"/>
          </w:tcPr>
          <w:p w14:paraId="026C0B3E" w14:textId="77777777" w:rsidR="00091E27" w:rsidRPr="00FE52B3" w:rsidRDefault="00091E27" w:rsidP="00091E27">
            <w:pPr>
              <w:jc w:val="center"/>
              <w:rPr>
                <w:rFonts w:ascii="Book Antiqua" w:hAnsi="Book Antiqua"/>
                <w:b/>
                <w:sz w:val="24"/>
                <w:szCs w:val="24"/>
              </w:rPr>
            </w:pPr>
            <w:r w:rsidRPr="00FE52B3">
              <w:rPr>
                <w:rFonts w:ascii="Book Antiqua" w:hAnsi="Book Antiqua"/>
                <w:b/>
                <w:sz w:val="24"/>
                <w:szCs w:val="24"/>
              </w:rPr>
              <w:t>Measure</w:t>
            </w:r>
          </w:p>
        </w:tc>
        <w:tc>
          <w:tcPr>
            <w:tcW w:w="4979" w:type="dxa"/>
            <w:shd w:val="clear" w:color="auto" w:fill="BDD6EE" w:themeFill="accent1" w:themeFillTint="66"/>
          </w:tcPr>
          <w:p w14:paraId="05F80B2A" w14:textId="77777777" w:rsidR="00091E27" w:rsidRPr="00FE52B3" w:rsidRDefault="00091E27" w:rsidP="00091E27">
            <w:pPr>
              <w:jc w:val="center"/>
              <w:rPr>
                <w:rFonts w:ascii="Book Antiqua" w:hAnsi="Book Antiqua"/>
                <w:b/>
                <w:sz w:val="24"/>
                <w:szCs w:val="24"/>
              </w:rPr>
            </w:pPr>
            <w:r w:rsidRPr="00FE52B3">
              <w:rPr>
                <w:rFonts w:ascii="Book Antiqua" w:hAnsi="Book Antiqua"/>
                <w:b/>
                <w:sz w:val="24"/>
                <w:szCs w:val="24"/>
              </w:rPr>
              <w:t>Current ACO Activities Underway</w:t>
            </w:r>
          </w:p>
        </w:tc>
        <w:tc>
          <w:tcPr>
            <w:tcW w:w="5130" w:type="dxa"/>
            <w:shd w:val="clear" w:color="auto" w:fill="BDD6EE" w:themeFill="accent1" w:themeFillTint="66"/>
          </w:tcPr>
          <w:p w14:paraId="17D1023C" w14:textId="77777777" w:rsidR="00091E27" w:rsidRPr="00FE52B3" w:rsidRDefault="00091E27" w:rsidP="00091E27">
            <w:pPr>
              <w:jc w:val="center"/>
              <w:rPr>
                <w:rFonts w:ascii="Book Antiqua" w:hAnsi="Book Antiqua"/>
                <w:b/>
                <w:sz w:val="24"/>
                <w:szCs w:val="24"/>
              </w:rPr>
            </w:pPr>
            <w:r w:rsidRPr="00FE52B3">
              <w:rPr>
                <w:rFonts w:ascii="Book Antiqua" w:hAnsi="Book Antiqua"/>
                <w:b/>
                <w:sz w:val="24"/>
                <w:szCs w:val="24"/>
              </w:rPr>
              <w:t>Planned ACO Activities Underway</w:t>
            </w:r>
          </w:p>
        </w:tc>
      </w:tr>
      <w:tr w:rsidR="00091E27" w:rsidRPr="00FE52B3" w14:paraId="7BFC67A7" w14:textId="77777777" w:rsidTr="1687F000">
        <w:tc>
          <w:tcPr>
            <w:tcW w:w="13225" w:type="dxa"/>
            <w:gridSpan w:val="3"/>
            <w:shd w:val="clear" w:color="auto" w:fill="F2F2F2" w:themeFill="background1" w:themeFillShade="F2"/>
          </w:tcPr>
          <w:p w14:paraId="2B767F3F" w14:textId="77777777" w:rsidR="00091E27" w:rsidRPr="00FE52B3" w:rsidRDefault="00091E27" w:rsidP="00091E27">
            <w:pPr>
              <w:jc w:val="center"/>
              <w:rPr>
                <w:rFonts w:ascii="Book Antiqua" w:hAnsi="Book Antiqua"/>
                <w:b/>
                <w:sz w:val="24"/>
                <w:szCs w:val="24"/>
              </w:rPr>
            </w:pPr>
            <w:r w:rsidRPr="00FE52B3">
              <w:rPr>
                <w:rFonts w:ascii="Book Antiqua" w:hAnsi="Book Antiqua"/>
                <w:b/>
                <w:sz w:val="24"/>
                <w:szCs w:val="24"/>
              </w:rPr>
              <w:t>Goal #1: Increase Access to Primary Care</w:t>
            </w:r>
          </w:p>
        </w:tc>
      </w:tr>
      <w:tr w:rsidR="00091E27" w:rsidRPr="00FE52B3" w14:paraId="4331FE8D" w14:textId="77777777" w:rsidTr="1687F000">
        <w:trPr>
          <w:trHeight w:val="1088"/>
        </w:trPr>
        <w:tc>
          <w:tcPr>
            <w:tcW w:w="3116" w:type="dxa"/>
          </w:tcPr>
          <w:p w14:paraId="1D2174B8" w14:textId="77777777" w:rsidR="00091E27" w:rsidRPr="00FE52B3" w:rsidRDefault="00091E27">
            <w:pPr>
              <w:rPr>
                <w:rFonts w:ascii="Book Antiqua" w:hAnsi="Book Antiqua"/>
              </w:rPr>
            </w:pPr>
            <w:r w:rsidRPr="00FE52B3">
              <w:rPr>
                <w:rFonts w:ascii="Book Antiqua" w:hAnsi="Book Antiqua"/>
              </w:rPr>
              <w:t>Percentage of adults with usual primary care provider</w:t>
            </w:r>
          </w:p>
        </w:tc>
        <w:tc>
          <w:tcPr>
            <w:tcW w:w="4979" w:type="dxa"/>
          </w:tcPr>
          <w:p w14:paraId="278784D9" w14:textId="6F02A77C" w:rsidR="002439DE" w:rsidRPr="00FE52B3" w:rsidRDefault="02245737" w:rsidP="00700D7F">
            <w:pPr>
              <w:rPr>
                <w:rFonts w:ascii="Book Antiqua" w:hAnsi="Book Antiqua"/>
              </w:rPr>
            </w:pPr>
            <w:proofErr w:type="gramStart"/>
            <w:r w:rsidRPr="02245737">
              <w:rPr>
                <w:rFonts w:ascii="Book Antiqua" w:hAnsi="Book Antiqua"/>
              </w:rPr>
              <w:t>All of</w:t>
            </w:r>
            <w:proofErr w:type="gramEnd"/>
            <w:r w:rsidRPr="02245737">
              <w:rPr>
                <w:rFonts w:ascii="Book Antiqua" w:hAnsi="Book Antiqua"/>
              </w:rPr>
              <w:t xml:space="preserve"> CHAC's FQHC participants are NQCA PCMH recognized. NCQ</w:t>
            </w:r>
            <w:r w:rsidR="00B05CF1">
              <w:rPr>
                <w:rFonts w:ascii="Book Antiqua" w:hAnsi="Book Antiqua"/>
              </w:rPr>
              <w:t xml:space="preserve">A's PCMH </w:t>
            </w:r>
            <w:r w:rsidR="00700D7F">
              <w:rPr>
                <w:rFonts w:ascii="Book Antiqua" w:hAnsi="Book Antiqua"/>
              </w:rPr>
              <w:t xml:space="preserve">2014 </w:t>
            </w:r>
            <w:r w:rsidR="00B05CF1">
              <w:rPr>
                <w:rFonts w:ascii="Book Antiqua" w:hAnsi="Book Antiqua"/>
              </w:rPr>
              <w:t>standards require</w:t>
            </w:r>
            <w:r w:rsidR="00DE788F">
              <w:rPr>
                <w:rFonts w:ascii="Book Antiqua" w:hAnsi="Book Antiqua"/>
              </w:rPr>
              <w:t xml:space="preserve"> </w:t>
            </w:r>
            <w:r w:rsidRPr="02245737">
              <w:rPr>
                <w:rFonts w:ascii="Book Antiqua" w:hAnsi="Book Antiqua"/>
              </w:rPr>
              <w:t xml:space="preserve">FQHCs </w:t>
            </w:r>
            <w:r w:rsidR="00DE788F">
              <w:rPr>
                <w:rFonts w:ascii="Book Antiqua" w:hAnsi="Book Antiqua"/>
              </w:rPr>
              <w:t xml:space="preserve">to </w:t>
            </w:r>
            <w:r w:rsidRPr="02245737">
              <w:rPr>
                <w:rFonts w:ascii="Book Antiqua" w:hAnsi="Book Antiqua"/>
              </w:rPr>
              <w:t>have practices in place to ensure that patients are assigned a PCP</w:t>
            </w:r>
            <w:r w:rsidR="00700D7F">
              <w:rPr>
                <w:rFonts w:ascii="Book Antiqua" w:hAnsi="Book Antiqua"/>
              </w:rPr>
              <w:t xml:space="preserve"> (see Standard 2A:  </w:t>
            </w:r>
            <w:r w:rsidR="00700D7F" w:rsidRPr="00700D7F">
              <w:rPr>
                <w:rFonts w:ascii="Book Antiqua" w:hAnsi="Book Antiqua"/>
              </w:rPr>
              <w:t>The practice provides continuity of care for patients/families by: Assisting patients/families to select a personal clinician and documenting the selection in practice records</w:t>
            </w:r>
            <w:r w:rsidR="00700D7F">
              <w:rPr>
                <w:rFonts w:ascii="Book Antiqua" w:hAnsi="Book Antiqua"/>
              </w:rPr>
              <w:t>; and m</w:t>
            </w:r>
            <w:r w:rsidR="00700D7F" w:rsidRPr="00700D7F">
              <w:rPr>
                <w:rFonts w:ascii="Book Antiqua" w:hAnsi="Book Antiqua"/>
              </w:rPr>
              <w:t>onitoring the percentage of patient visits with selected clinician or team.</w:t>
            </w:r>
            <w:r w:rsidR="00700D7F">
              <w:rPr>
                <w:rFonts w:ascii="Book Antiqua" w:hAnsi="Book Antiqua"/>
              </w:rPr>
              <w:t>)</w:t>
            </w:r>
            <w:r w:rsidRPr="02245737">
              <w:rPr>
                <w:rFonts w:ascii="Book Antiqua" w:hAnsi="Book Antiqua"/>
              </w:rPr>
              <w:t xml:space="preserve"> CHAC has also required that other participants (VNAs, </w:t>
            </w:r>
            <w:r w:rsidR="00694941">
              <w:rPr>
                <w:rFonts w:ascii="Book Antiqua" w:hAnsi="Book Antiqua"/>
              </w:rPr>
              <w:t xml:space="preserve">and </w:t>
            </w:r>
            <w:r w:rsidRPr="02245737">
              <w:rPr>
                <w:rFonts w:ascii="Book Antiqua" w:hAnsi="Book Antiqua"/>
              </w:rPr>
              <w:t>CMHCs) should have practices in places to ensure patients are assigned a PCP.</w:t>
            </w:r>
          </w:p>
        </w:tc>
        <w:tc>
          <w:tcPr>
            <w:tcW w:w="5130" w:type="dxa"/>
          </w:tcPr>
          <w:p w14:paraId="4511D8F3" w14:textId="7D465C4C" w:rsidR="002439DE" w:rsidRDefault="02245737" w:rsidP="02245737">
            <w:pPr>
              <w:rPr>
                <w:rFonts w:ascii="Book Antiqua" w:hAnsi="Book Antiqua"/>
              </w:rPr>
            </w:pPr>
            <w:r w:rsidRPr="02245737">
              <w:rPr>
                <w:rFonts w:ascii="Book Antiqua" w:hAnsi="Book Antiqua"/>
              </w:rPr>
              <w:t xml:space="preserve">Plan outreach activities to connect with "attributed but not seen" patients. FQHCs will continue with activities that fulfill PCMH requirements related to PCP assignment. </w:t>
            </w:r>
            <w:r w:rsidR="00700D7F" w:rsidRPr="02245737">
              <w:rPr>
                <w:rFonts w:ascii="Book Antiqua" w:hAnsi="Book Antiqua"/>
              </w:rPr>
              <w:t>Promot</w:t>
            </w:r>
            <w:r w:rsidR="00700D7F">
              <w:rPr>
                <w:rFonts w:ascii="Book Antiqua" w:hAnsi="Book Antiqua"/>
              </w:rPr>
              <w:t>e</w:t>
            </w:r>
            <w:r w:rsidR="00700D7F" w:rsidRPr="02245737">
              <w:rPr>
                <w:rFonts w:ascii="Book Antiqua" w:hAnsi="Book Antiqua"/>
              </w:rPr>
              <w:t xml:space="preserve"> </w:t>
            </w:r>
            <w:r w:rsidRPr="02245737">
              <w:rPr>
                <w:rFonts w:ascii="Book Antiqua" w:hAnsi="Book Antiqua"/>
              </w:rPr>
              <w:t xml:space="preserve">best practices of </w:t>
            </w:r>
            <w:r w:rsidR="00700D7F" w:rsidRPr="02245737">
              <w:rPr>
                <w:rFonts w:ascii="Book Antiqua" w:hAnsi="Book Antiqua"/>
              </w:rPr>
              <w:t>V</w:t>
            </w:r>
            <w:r w:rsidR="00700D7F">
              <w:rPr>
                <w:rFonts w:ascii="Book Antiqua" w:hAnsi="Book Antiqua"/>
              </w:rPr>
              <w:t>N</w:t>
            </w:r>
            <w:r w:rsidR="00700D7F" w:rsidRPr="02245737">
              <w:rPr>
                <w:rFonts w:ascii="Book Antiqua" w:hAnsi="Book Antiqua"/>
              </w:rPr>
              <w:t>As</w:t>
            </w:r>
            <w:r w:rsidRPr="02245737">
              <w:rPr>
                <w:rFonts w:ascii="Book Antiqua" w:hAnsi="Book Antiqua"/>
              </w:rPr>
              <w:t xml:space="preserve">, CMHCs, and Designated Agencies to ensure patients are properly assigned. </w:t>
            </w:r>
          </w:p>
          <w:p w14:paraId="15002FAF" w14:textId="0F4DE14D" w:rsidR="00091E27" w:rsidRPr="00FE52B3" w:rsidRDefault="00091E27" w:rsidP="02245737">
            <w:pPr>
              <w:rPr>
                <w:rFonts w:ascii="Book Antiqua" w:hAnsi="Book Antiqua"/>
              </w:rPr>
            </w:pPr>
          </w:p>
        </w:tc>
      </w:tr>
      <w:tr w:rsidR="00091E27" w:rsidRPr="00FE52B3" w14:paraId="55BDA0CD" w14:textId="77777777" w:rsidTr="1687F000">
        <w:tc>
          <w:tcPr>
            <w:tcW w:w="3116" w:type="dxa"/>
          </w:tcPr>
          <w:p w14:paraId="6FFF46FA" w14:textId="330F33A1" w:rsidR="00091E27" w:rsidRPr="00FE52B3" w:rsidRDefault="00091E27">
            <w:pPr>
              <w:rPr>
                <w:rFonts w:ascii="Book Antiqua" w:hAnsi="Book Antiqua"/>
              </w:rPr>
            </w:pPr>
            <w:r w:rsidRPr="00FE52B3">
              <w:rPr>
                <w:rFonts w:ascii="Book Antiqua" w:hAnsi="Book Antiqua"/>
              </w:rPr>
              <w:t>Medicare ACO composite of 5 questions on Getting Timely Care, Appointments and Information</w:t>
            </w:r>
          </w:p>
        </w:tc>
        <w:tc>
          <w:tcPr>
            <w:tcW w:w="4979" w:type="dxa"/>
          </w:tcPr>
          <w:p w14:paraId="2F52EA45" w14:textId="1AB60526" w:rsidR="00091E27" w:rsidRPr="00FE52B3" w:rsidRDefault="02245737" w:rsidP="02245737">
            <w:pPr>
              <w:rPr>
                <w:rFonts w:ascii="Book Antiqua" w:hAnsi="Book Antiqua"/>
              </w:rPr>
            </w:pPr>
            <w:r w:rsidRPr="02245737">
              <w:rPr>
                <w:rFonts w:ascii="Book Antiqua" w:hAnsi="Book Antiqua"/>
              </w:rPr>
              <w:t xml:space="preserve">Annually, CHAC completes the CAHPS survey as a condition of its contract with Medicare. The data from the survey are reviewed across the CHAC governance entities (Clinical Committee, Board, and the Consumer Advisory Panel) to identify set ACO-level goals and best practices. </w:t>
            </w:r>
          </w:p>
        </w:tc>
        <w:tc>
          <w:tcPr>
            <w:tcW w:w="5130" w:type="dxa"/>
          </w:tcPr>
          <w:p w14:paraId="1AF21FE0" w14:textId="2632C678" w:rsidR="00091E27" w:rsidRPr="00FE52B3" w:rsidRDefault="02245737" w:rsidP="02245737">
            <w:pPr>
              <w:rPr>
                <w:rFonts w:ascii="Book Antiqua" w:hAnsi="Book Antiqua"/>
              </w:rPr>
            </w:pPr>
            <w:r w:rsidRPr="02245737">
              <w:rPr>
                <w:rFonts w:ascii="Book Antiqua" w:hAnsi="Book Antiqua"/>
              </w:rPr>
              <w:t xml:space="preserve">Same activities planned for next year </w:t>
            </w:r>
          </w:p>
        </w:tc>
      </w:tr>
      <w:tr w:rsidR="00091E27" w:rsidRPr="00FE52B3" w14:paraId="5931138C" w14:textId="77777777" w:rsidTr="1687F000">
        <w:tc>
          <w:tcPr>
            <w:tcW w:w="3116" w:type="dxa"/>
          </w:tcPr>
          <w:p w14:paraId="66CEBCCD" w14:textId="77777777" w:rsidR="00091E27" w:rsidRPr="00FE52B3" w:rsidRDefault="00091E27">
            <w:pPr>
              <w:rPr>
                <w:rFonts w:ascii="Book Antiqua" w:hAnsi="Book Antiqua"/>
              </w:rPr>
            </w:pPr>
            <w:r w:rsidRPr="00FE52B3">
              <w:rPr>
                <w:rFonts w:ascii="Book Antiqua" w:hAnsi="Book Antiqua"/>
              </w:rPr>
              <w:t>Percentage of Medicaid adolescents with well-care visits</w:t>
            </w:r>
          </w:p>
        </w:tc>
        <w:tc>
          <w:tcPr>
            <w:tcW w:w="4979" w:type="dxa"/>
          </w:tcPr>
          <w:p w14:paraId="242DE6A1" w14:textId="32BFFBBC" w:rsidR="00091E27" w:rsidRPr="00FE52B3" w:rsidRDefault="02245737" w:rsidP="02245737">
            <w:pPr>
              <w:rPr>
                <w:rFonts w:ascii="Book Antiqua" w:hAnsi="Book Antiqua"/>
              </w:rPr>
            </w:pPr>
            <w:r w:rsidRPr="02245737">
              <w:rPr>
                <w:rFonts w:ascii="Book Antiqua" w:hAnsi="Book Antiqua"/>
              </w:rPr>
              <w:t xml:space="preserve">Not applicable. </w:t>
            </w:r>
          </w:p>
        </w:tc>
        <w:tc>
          <w:tcPr>
            <w:tcW w:w="5130" w:type="dxa"/>
          </w:tcPr>
          <w:p w14:paraId="0FF58662" w14:textId="122F32B6" w:rsidR="00091E27" w:rsidRPr="00FE52B3" w:rsidRDefault="02245737" w:rsidP="02245737">
            <w:pPr>
              <w:rPr>
                <w:rFonts w:ascii="Book Antiqua" w:hAnsi="Book Antiqua"/>
              </w:rPr>
            </w:pPr>
            <w:r w:rsidRPr="02245737">
              <w:rPr>
                <w:rFonts w:ascii="Book Antiqua" w:hAnsi="Book Antiqua"/>
              </w:rPr>
              <w:t xml:space="preserve">Not applicable. </w:t>
            </w:r>
          </w:p>
        </w:tc>
      </w:tr>
      <w:tr w:rsidR="00091E27" w:rsidRPr="00FE52B3" w14:paraId="167E0F48" w14:textId="77777777" w:rsidTr="1687F000">
        <w:tc>
          <w:tcPr>
            <w:tcW w:w="3116" w:type="dxa"/>
          </w:tcPr>
          <w:p w14:paraId="4AC7D9AB" w14:textId="77777777" w:rsidR="00091E27" w:rsidRPr="00FE52B3" w:rsidRDefault="00091E27">
            <w:pPr>
              <w:rPr>
                <w:rFonts w:ascii="Book Antiqua" w:hAnsi="Book Antiqua"/>
              </w:rPr>
            </w:pPr>
            <w:r w:rsidRPr="00FE52B3">
              <w:rPr>
                <w:rFonts w:ascii="Book Antiqua" w:hAnsi="Book Antiqua"/>
              </w:rPr>
              <w:t>Percentage of Medicaid enrollees aligned with ACO</w:t>
            </w:r>
          </w:p>
        </w:tc>
        <w:tc>
          <w:tcPr>
            <w:tcW w:w="4979" w:type="dxa"/>
          </w:tcPr>
          <w:p w14:paraId="6FF65FF7" w14:textId="077D9D36" w:rsidR="00091E27" w:rsidRPr="00FE52B3" w:rsidRDefault="02245737" w:rsidP="02245737">
            <w:pPr>
              <w:rPr>
                <w:rFonts w:ascii="Book Antiqua" w:hAnsi="Book Antiqua"/>
              </w:rPr>
            </w:pPr>
            <w:r w:rsidRPr="02245737">
              <w:rPr>
                <w:rFonts w:ascii="Book Antiqua" w:hAnsi="Book Antiqua"/>
              </w:rPr>
              <w:t xml:space="preserve">Not applicable. </w:t>
            </w:r>
          </w:p>
        </w:tc>
        <w:tc>
          <w:tcPr>
            <w:tcW w:w="5130" w:type="dxa"/>
          </w:tcPr>
          <w:p w14:paraId="59CC87AE" w14:textId="6B7682CF" w:rsidR="00091E27" w:rsidRPr="00FE52B3" w:rsidRDefault="02245737" w:rsidP="02245737">
            <w:pPr>
              <w:rPr>
                <w:rFonts w:ascii="Book Antiqua" w:hAnsi="Book Antiqua"/>
              </w:rPr>
            </w:pPr>
            <w:r w:rsidRPr="02245737">
              <w:rPr>
                <w:rFonts w:ascii="Book Antiqua" w:hAnsi="Book Antiqua"/>
              </w:rPr>
              <w:t xml:space="preserve">Not applicable. </w:t>
            </w:r>
          </w:p>
        </w:tc>
      </w:tr>
      <w:tr w:rsidR="00091E27" w:rsidRPr="00FE52B3" w14:paraId="5AD5222F" w14:textId="77777777" w:rsidTr="1687F000">
        <w:tc>
          <w:tcPr>
            <w:tcW w:w="13225" w:type="dxa"/>
            <w:gridSpan w:val="3"/>
            <w:shd w:val="clear" w:color="auto" w:fill="F2F2F2" w:themeFill="background1" w:themeFillShade="F2"/>
          </w:tcPr>
          <w:p w14:paraId="7D1CF44D" w14:textId="77777777" w:rsidR="00091E27" w:rsidRPr="00FE52B3" w:rsidRDefault="00091E27" w:rsidP="00091E27">
            <w:pPr>
              <w:jc w:val="center"/>
              <w:rPr>
                <w:rFonts w:ascii="Book Antiqua" w:hAnsi="Book Antiqua"/>
                <w:b/>
                <w:sz w:val="24"/>
                <w:szCs w:val="24"/>
              </w:rPr>
            </w:pPr>
            <w:r w:rsidRPr="00FE52B3">
              <w:rPr>
                <w:rFonts w:ascii="Book Antiqua" w:hAnsi="Book Antiqua"/>
                <w:b/>
                <w:sz w:val="24"/>
                <w:szCs w:val="24"/>
              </w:rPr>
              <w:t>Goal #2: Reduce Deaths Related to Suicide and Drug Overdose</w:t>
            </w:r>
          </w:p>
        </w:tc>
      </w:tr>
      <w:tr w:rsidR="00091E27" w:rsidRPr="00FE52B3" w14:paraId="00D8D1AE" w14:textId="77777777" w:rsidTr="1687F000">
        <w:tc>
          <w:tcPr>
            <w:tcW w:w="3116" w:type="dxa"/>
          </w:tcPr>
          <w:p w14:paraId="3D8D5AC9" w14:textId="77777777" w:rsidR="00091E27" w:rsidRPr="00FE52B3" w:rsidRDefault="00091E27">
            <w:pPr>
              <w:rPr>
                <w:rFonts w:ascii="Book Antiqua" w:hAnsi="Book Antiqua"/>
              </w:rPr>
            </w:pPr>
            <w:r w:rsidRPr="00FE52B3">
              <w:rPr>
                <w:rFonts w:ascii="Book Antiqua" w:hAnsi="Book Antiqua"/>
              </w:rPr>
              <w:t>Deaths related to suicide</w:t>
            </w:r>
          </w:p>
        </w:tc>
        <w:tc>
          <w:tcPr>
            <w:tcW w:w="4979" w:type="dxa"/>
          </w:tcPr>
          <w:p w14:paraId="72E0B891" w14:textId="2963F9B3" w:rsidR="00091E27" w:rsidRPr="00FE52B3" w:rsidRDefault="1687F000" w:rsidP="1687F000">
            <w:pPr>
              <w:rPr>
                <w:rFonts w:ascii="Book Antiqua" w:hAnsi="Book Antiqua"/>
              </w:rPr>
            </w:pPr>
            <w:r w:rsidRPr="1687F000">
              <w:rPr>
                <w:rFonts w:ascii="Book Antiqua" w:hAnsi="Book Antiqua"/>
              </w:rPr>
              <w:t xml:space="preserve">CHAC has implemented ACO-wide efforts that focus on depression screening that include questions related to suicide risk. Many of the CHAC participants are engaged in regional/local efforts as well including expanded use of the PHQ2/PHQ9 screenings. At least one CHAC </w:t>
            </w:r>
            <w:proofErr w:type="gramStart"/>
            <w:r w:rsidRPr="1687F000">
              <w:rPr>
                <w:rFonts w:ascii="Book Antiqua" w:hAnsi="Book Antiqua"/>
              </w:rPr>
              <w:t>participa</w:t>
            </w:r>
            <w:bookmarkStart w:id="0" w:name="_GoBack"/>
            <w:r w:rsidR="0097799D">
              <w:rPr>
                <w:rFonts w:ascii="Book Antiqua" w:hAnsi="Book Antiqua"/>
              </w:rPr>
              <w:t xml:space="preserve">nt </w:t>
            </w:r>
            <w:bookmarkEnd w:id="0"/>
            <w:r w:rsidRPr="1687F000">
              <w:rPr>
                <w:rFonts w:ascii="Book Antiqua" w:hAnsi="Book Antiqua"/>
              </w:rPr>
              <w:t xml:space="preserve"> is</w:t>
            </w:r>
            <w:proofErr w:type="gramEnd"/>
            <w:r w:rsidRPr="1687F000">
              <w:rPr>
                <w:rFonts w:ascii="Book Antiqua" w:hAnsi="Book Antiqua"/>
              </w:rPr>
              <w:t xml:space="preserve"> engaged in </w:t>
            </w:r>
            <w:r w:rsidR="0097799D">
              <w:rPr>
                <w:rFonts w:ascii="Book Antiqua" w:hAnsi="Book Antiqua"/>
              </w:rPr>
              <w:t>a</w:t>
            </w:r>
            <w:r w:rsidRPr="1687F000">
              <w:rPr>
                <w:rFonts w:ascii="Book Antiqua" w:hAnsi="Book Antiqua"/>
              </w:rPr>
              <w:t xml:space="preserve"> Zero Suicide pilot. CHAC monitors these </w:t>
            </w:r>
            <w:r w:rsidRPr="1687F000">
              <w:rPr>
                <w:rFonts w:ascii="Book Antiqua" w:hAnsi="Book Antiqua"/>
              </w:rPr>
              <w:lastRenderedPageBreak/>
              <w:t>regional efforts and best practices and learnings are shared widely across the ACO.</w:t>
            </w:r>
          </w:p>
        </w:tc>
        <w:tc>
          <w:tcPr>
            <w:tcW w:w="5130" w:type="dxa"/>
          </w:tcPr>
          <w:p w14:paraId="321593EE" w14:textId="03D5C085" w:rsidR="00091E27" w:rsidRPr="00FE52B3" w:rsidRDefault="1687F000" w:rsidP="1687F000">
            <w:pPr>
              <w:rPr>
                <w:rFonts w:ascii="Book Antiqua" w:hAnsi="Book Antiqua"/>
              </w:rPr>
            </w:pPr>
            <w:r w:rsidRPr="1687F000">
              <w:rPr>
                <w:rFonts w:ascii="Book Antiqua" w:hAnsi="Book Antiqua"/>
              </w:rPr>
              <w:lastRenderedPageBreak/>
              <w:t xml:space="preserve"> </w:t>
            </w:r>
            <w:r w:rsidR="002C4664" w:rsidRPr="02245737">
              <w:rPr>
                <w:rFonts w:ascii="Book Antiqua" w:hAnsi="Book Antiqua"/>
              </w:rPr>
              <w:t>Same activities planned for next year</w:t>
            </w:r>
          </w:p>
        </w:tc>
      </w:tr>
      <w:tr w:rsidR="00091E27" w:rsidRPr="00FE52B3" w14:paraId="0711E77B" w14:textId="77777777" w:rsidTr="1687F000">
        <w:tc>
          <w:tcPr>
            <w:tcW w:w="3116" w:type="dxa"/>
          </w:tcPr>
          <w:p w14:paraId="18F0A6E0" w14:textId="77777777" w:rsidR="00091E27" w:rsidRPr="00FE52B3" w:rsidRDefault="00091E27">
            <w:pPr>
              <w:rPr>
                <w:rFonts w:ascii="Book Antiqua" w:hAnsi="Book Antiqua"/>
              </w:rPr>
            </w:pPr>
            <w:r w:rsidRPr="00FE52B3">
              <w:rPr>
                <w:rFonts w:ascii="Book Antiqua" w:hAnsi="Book Antiqua"/>
              </w:rPr>
              <w:lastRenderedPageBreak/>
              <w:t>Deaths related to drug overdose</w:t>
            </w:r>
          </w:p>
        </w:tc>
        <w:tc>
          <w:tcPr>
            <w:tcW w:w="4979" w:type="dxa"/>
          </w:tcPr>
          <w:p w14:paraId="633EAEB9" w14:textId="51BB4264" w:rsidR="00091E27" w:rsidRPr="00FE52B3" w:rsidRDefault="002C4664">
            <w:pPr>
              <w:rPr>
                <w:rFonts w:ascii="Book Antiqua" w:hAnsi="Book Antiqua"/>
              </w:rPr>
            </w:pPr>
            <w:r>
              <w:rPr>
                <w:rFonts w:ascii="Book Antiqua" w:hAnsi="Book Antiqua"/>
              </w:rPr>
              <w:t>None</w:t>
            </w:r>
          </w:p>
        </w:tc>
        <w:tc>
          <w:tcPr>
            <w:tcW w:w="5130" w:type="dxa"/>
          </w:tcPr>
          <w:p w14:paraId="76C1E242" w14:textId="77777777" w:rsidR="00091E27" w:rsidRPr="00FE52B3" w:rsidRDefault="00091E27">
            <w:pPr>
              <w:rPr>
                <w:rFonts w:ascii="Book Antiqua" w:hAnsi="Book Antiqua"/>
              </w:rPr>
            </w:pPr>
          </w:p>
        </w:tc>
      </w:tr>
      <w:tr w:rsidR="002C4664" w:rsidRPr="00FE52B3" w14:paraId="77AA6B72" w14:textId="77777777" w:rsidTr="1687F000">
        <w:tc>
          <w:tcPr>
            <w:tcW w:w="3116" w:type="dxa"/>
          </w:tcPr>
          <w:p w14:paraId="54EA0391" w14:textId="77777777" w:rsidR="002C4664" w:rsidRPr="00FE52B3" w:rsidRDefault="002C4664" w:rsidP="002C4664">
            <w:pPr>
              <w:rPr>
                <w:rFonts w:ascii="Book Antiqua" w:hAnsi="Book Antiqua"/>
              </w:rPr>
            </w:pPr>
            <w:r w:rsidRPr="00FE52B3">
              <w:rPr>
                <w:rFonts w:ascii="Book Antiqua" w:hAnsi="Book Antiqua"/>
              </w:rPr>
              <w:t>Multi-Payer ACO initiation of alcohol and other drug dependence treatment</w:t>
            </w:r>
          </w:p>
        </w:tc>
        <w:tc>
          <w:tcPr>
            <w:tcW w:w="4979" w:type="dxa"/>
          </w:tcPr>
          <w:p w14:paraId="3097C01F" w14:textId="2B9C987E" w:rsidR="002C4664" w:rsidRPr="00FE52B3" w:rsidRDefault="002C4664" w:rsidP="002C4664">
            <w:pPr>
              <w:rPr>
                <w:rFonts w:ascii="Book Antiqua" w:hAnsi="Book Antiqua"/>
              </w:rPr>
            </w:pPr>
            <w:r>
              <w:rPr>
                <w:rFonts w:ascii="Book Antiqua" w:hAnsi="Book Antiqua"/>
              </w:rPr>
              <w:t xml:space="preserve">No data is available to conduct these activities. </w:t>
            </w:r>
          </w:p>
        </w:tc>
        <w:tc>
          <w:tcPr>
            <w:tcW w:w="5130" w:type="dxa"/>
          </w:tcPr>
          <w:p w14:paraId="48B2350F" w14:textId="77777777" w:rsidR="002C4664" w:rsidRPr="00FE52B3" w:rsidRDefault="002C4664" w:rsidP="002C4664">
            <w:pPr>
              <w:rPr>
                <w:rFonts w:ascii="Book Antiqua" w:hAnsi="Book Antiqua"/>
              </w:rPr>
            </w:pPr>
          </w:p>
        </w:tc>
      </w:tr>
      <w:tr w:rsidR="002C4664" w:rsidRPr="00FE52B3" w14:paraId="1722DC81" w14:textId="77777777" w:rsidTr="1687F000">
        <w:tc>
          <w:tcPr>
            <w:tcW w:w="3116" w:type="dxa"/>
          </w:tcPr>
          <w:p w14:paraId="5FE8DCF0" w14:textId="77777777" w:rsidR="002C4664" w:rsidRPr="00FE52B3" w:rsidRDefault="002C4664" w:rsidP="002C4664">
            <w:pPr>
              <w:rPr>
                <w:rFonts w:ascii="Book Antiqua" w:hAnsi="Book Antiqua"/>
              </w:rPr>
            </w:pPr>
            <w:r w:rsidRPr="00FE52B3">
              <w:rPr>
                <w:rFonts w:ascii="Book Antiqua" w:hAnsi="Book Antiqua"/>
              </w:rPr>
              <w:t>Multi-Payer ACO engagement of alcohol and other drug dependence treatment</w:t>
            </w:r>
          </w:p>
        </w:tc>
        <w:tc>
          <w:tcPr>
            <w:tcW w:w="4979" w:type="dxa"/>
          </w:tcPr>
          <w:p w14:paraId="0370CC04" w14:textId="6E53E042" w:rsidR="002C4664" w:rsidRPr="00FE52B3" w:rsidRDefault="002C4664" w:rsidP="002C4664">
            <w:pPr>
              <w:rPr>
                <w:rFonts w:ascii="Book Antiqua" w:hAnsi="Book Antiqua"/>
              </w:rPr>
            </w:pPr>
            <w:r>
              <w:rPr>
                <w:rFonts w:ascii="Book Antiqua" w:hAnsi="Book Antiqua"/>
              </w:rPr>
              <w:t xml:space="preserve">No data is available to conduct these activities. </w:t>
            </w:r>
          </w:p>
        </w:tc>
        <w:tc>
          <w:tcPr>
            <w:tcW w:w="5130" w:type="dxa"/>
          </w:tcPr>
          <w:p w14:paraId="194F6D5A" w14:textId="77777777" w:rsidR="002C4664" w:rsidRPr="00FE52B3" w:rsidRDefault="002C4664" w:rsidP="002C4664">
            <w:pPr>
              <w:rPr>
                <w:rFonts w:ascii="Book Antiqua" w:hAnsi="Book Antiqua"/>
              </w:rPr>
            </w:pPr>
          </w:p>
        </w:tc>
      </w:tr>
      <w:tr w:rsidR="002C4664" w:rsidRPr="00FE52B3" w14:paraId="0C444CD3" w14:textId="77777777" w:rsidTr="1687F000">
        <w:tc>
          <w:tcPr>
            <w:tcW w:w="3116" w:type="dxa"/>
          </w:tcPr>
          <w:p w14:paraId="2F720D4B" w14:textId="77777777" w:rsidR="002C4664" w:rsidRPr="00FE52B3" w:rsidRDefault="002C4664" w:rsidP="002C4664">
            <w:pPr>
              <w:rPr>
                <w:rFonts w:ascii="Book Antiqua" w:hAnsi="Book Antiqua"/>
              </w:rPr>
            </w:pPr>
            <w:r w:rsidRPr="00FE52B3">
              <w:rPr>
                <w:rFonts w:ascii="Book Antiqua" w:hAnsi="Book Antiqua"/>
              </w:rPr>
              <w:t>Multi-Payer ACO 30-day follow-up after discharge from ED for mental health</w:t>
            </w:r>
          </w:p>
        </w:tc>
        <w:tc>
          <w:tcPr>
            <w:tcW w:w="4979" w:type="dxa"/>
          </w:tcPr>
          <w:p w14:paraId="4574B436" w14:textId="3B969295" w:rsidR="002C4664" w:rsidRPr="00FE52B3" w:rsidRDefault="002C4664" w:rsidP="002C4664">
            <w:pPr>
              <w:rPr>
                <w:rFonts w:ascii="Book Antiqua" w:hAnsi="Book Antiqua"/>
              </w:rPr>
            </w:pPr>
            <w:r>
              <w:rPr>
                <w:rFonts w:ascii="Book Antiqua" w:hAnsi="Book Antiqua"/>
              </w:rPr>
              <w:t xml:space="preserve">No data is available to conduct these activities. </w:t>
            </w:r>
          </w:p>
        </w:tc>
        <w:tc>
          <w:tcPr>
            <w:tcW w:w="5130" w:type="dxa"/>
          </w:tcPr>
          <w:p w14:paraId="29325DC6" w14:textId="77777777" w:rsidR="002C4664" w:rsidRPr="00FE52B3" w:rsidRDefault="002C4664" w:rsidP="002C4664">
            <w:pPr>
              <w:rPr>
                <w:rFonts w:ascii="Book Antiqua" w:hAnsi="Book Antiqua"/>
              </w:rPr>
            </w:pPr>
          </w:p>
        </w:tc>
      </w:tr>
      <w:tr w:rsidR="002C4664" w:rsidRPr="00FE52B3" w14:paraId="269400F0" w14:textId="77777777" w:rsidTr="1687F000">
        <w:tc>
          <w:tcPr>
            <w:tcW w:w="3116" w:type="dxa"/>
          </w:tcPr>
          <w:p w14:paraId="3343F09A" w14:textId="77777777" w:rsidR="002C4664" w:rsidRPr="00FE52B3" w:rsidRDefault="002C4664" w:rsidP="002C4664">
            <w:pPr>
              <w:rPr>
                <w:rFonts w:ascii="Book Antiqua" w:hAnsi="Book Antiqua"/>
              </w:rPr>
            </w:pPr>
            <w:r w:rsidRPr="00FE52B3">
              <w:rPr>
                <w:rFonts w:ascii="Book Antiqua" w:hAnsi="Book Antiqua"/>
              </w:rPr>
              <w:t>Multi-Payer ACO 30-day follow-up after discharge for alcohol or other drug dependence</w:t>
            </w:r>
          </w:p>
        </w:tc>
        <w:tc>
          <w:tcPr>
            <w:tcW w:w="4979" w:type="dxa"/>
          </w:tcPr>
          <w:p w14:paraId="50721564" w14:textId="354508C9" w:rsidR="002C4664" w:rsidRPr="00FE52B3" w:rsidRDefault="002C4664" w:rsidP="002C4664">
            <w:pPr>
              <w:rPr>
                <w:rFonts w:ascii="Book Antiqua" w:hAnsi="Book Antiqua"/>
              </w:rPr>
            </w:pPr>
            <w:r>
              <w:rPr>
                <w:rFonts w:ascii="Book Antiqua" w:hAnsi="Book Antiqua"/>
              </w:rPr>
              <w:t xml:space="preserve">No data is available to conduct these activities. </w:t>
            </w:r>
          </w:p>
        </w:tc>
        <w:tc>
          <w:tcPr>
            <w:tcW w:w="5130" w:type="dxa"/>
          </w:tcPr>
          <w:p w14:paraId="43AB882D" w14:textId="77777777" w:rsidR="002C4664" w:rsidRPr="00FE52B3" w:rsidRDefault="002C4664" w:rsidP="002C4664">
            <w:pPr>
              <w:rPr>
                <w:rFonts w:ascii="Book Antiqua" w:hAnsi="Book Antiqua"/>
              </w:rPr>
            </w:pPr>
          </w:p>
        </w:tc>
      </w:tr>
      <w:tr w:rsidR="002C4664" w:rsidRPr="00FE52B3" w14:paraId="0B842F94" w14:textId="77777777" w:rsidTr="1687F000">
        <w:tc>
          <w:tcPr>
            <w:tcW w:w="3116" w:type="dxa"/>
          </w:tcPr>
          <w:p w14:paraId="16F4C1D2" w14:textId="77777777" w:rsidR="002C4664" w:rsidRPr="00FE52B3" w:rsidRDefault="002C4664" w:rsidP="002C4664">
            <w:pPr>
              <w:rPr>
                <w:rFonts w:ascii="Book Antiqua" w:hAnsi="Book Antiqua"/>
              </w:rPr>
            </w:pPr>
            <w:r w:rsidRPr="00FE52B3">
              <w:rPr>
                <w:rFonts w:ascii="Book Antiqua" w:hAnsi="Book Antiqua"/>
              </w:rPr>
              <w:t>Number of mental health and substance abuse-related ED visits</w:t>
            </w:r>
          </w:p>
        </w:tc>
        <w:tc>
          <w:tcPr>
            <w:tcW w:w="4979" w:type="dxa"/>
          </w:tcPr>
          <w:p w14:paraId="46BC4578" w14:textId="25F6FBB7" w:rsidR="002C4664" w:rsidRPr="00FE52B3" w:rsidRDefault="002C4664" w:rsidP="002C4664">
            <w:pPr>
              <w:rPr>
                <w:rFonts w:ascii="Book Antiqua" w:hAnsi="Book Antiqua"/>
              </w:rPr>
            </w:pPr>
            <w:r>
              <w:rPr>
                <w:rFonts w:ascii="Book Antiqua" w:hAnsi="Book Antiqua"/>
              </w:rPr>
              <w:t xml:space="preserve">No data is available to conduct these activities. </w:t>
            </w:r>
          </w:p>
        </w:tc>
        <w:tc>
          <w:tcPr>
            <w:tcW w:w="5130" w:type="dxa"/>
          </w:tcPr>
          <w:p w14:paraId="3FC1DE91" w14:textId="77777777" w:rsidR="002C4664" w:rsidRPr="00FE52B3" w:rsidRDefault="002C4664" w:rsidP="002C4664">
            <w:pPr>
              <w:rPr>
                <w:rFonts w:ascii="Book Antiqua" w:hAnsi="Book Antiqua"/>
              </w:rPr>
            </w:pPr>
          </w:p>
        </w:tc>
      </w:tr>
      <w:tr w:rsidR="002C4664" w:rsidRPr="00FE52B3" w14:paraId="65985C97" w14:textId="77777777" w:rsidTr="1687F000">
        <w:tc>
          <w:tcPr>
            <w:tcW w:w="3116" w:type="dxa"/>
          </w:tcPr>
          <w:p w14:paraId="6921FE81" w14:textId="77777777" w:rsidR="002C4664" w:rsidRPr="00FE52B3" w:rsidRDefault="002C4664" w:rsidP="002C4664">
            <w:pPr>
              <w:rPr>
                <w:rFonts w:ascii="Book Antiqua" w:hAnsi="Book Antiqua"/>
              </w:rPr>
            </w:pPr>
            <w:r w:rsidRPr="00FE52B3">
              <w:rPr>
                <w:rFonts w:ascii="Book Antiqua" w:hAnsi="Book Antiqua"/>
              </w:rPr>
              <w:t>% of Vermont providers checking prescription drug monitoring program before prescribing opioids</w:t>
            </w:r>
          </w:p>
        </w:tc>
        <w:tc>
          <w:tcPr>
            <w:tcW w:w="4979" w:type="dxa"/>
          </w:tcPr>
          <w:p w14:paraId="582D8E7A" w14:textId="7894C449" w:rsidR="002C4664" w:rsidRPr="00FE52B3" w:rsidRDefault="002C4664" w:rsidP="002C4664">
            <w:pPr>
              <w:rPr>
                <w:rFonts w:ascii="Book Antiqua" w:hAnsi="Book Antiqua"/>
              </w:rPr>
            </w:pPr>
            <w:r>
              <w:rPr>
                <w:rFonts w:ascii="Book Antiqua" w:hAnsi="Book Antiqua"/>
              </w:rPr>
              <w:t xml:space="preserve">CHAC complies with state law and facilitates the sharing of best practices at Clinical Committee </w:t>
            </w:r>
          </w:p>
        </w:tc>
        <w:tc>
          <w:tcPr>
            <w:tcW w:w="5130" w:type="dxa"/>
          </w:tcPr>
          <w:p w14:paraId="66BFC293" w14:textId="6FE659CC" w:rsidR="002C4664" w:rsidRPr="00FE52B3" w:rsidRDefault="002C4664" w:rsidP="002C4664">
            <w:pPr>
              <w:rPr>
                <w:rFonts w:ascii="Book Antiqua" w:hAnsi="Book Antiqua"/>
              </w:rPr>
            </w:pPr>
            <w:r>
              <w:rPr>
                <w:rFonts w:ascii="Book Antiqua" w:hAnsi="Book Antiqua"/>
              </w:rPr>
              <w:t>Same activities as previous year.</w:t>
            </w:r>
          </w:p>
        </w:tc>
      </w:tr>
      <w:tr w:rsidR="002C4664" w:rsidRPr="00FE52B3" w14:paraId="2C7BE2F5" w14:textId="77777777" w:rsidTr="1687F000">
        <w:tc>
          <w:tcPr>
            <w:tcW w:w="3116" w:type="dxa"/>
          </w:tcPr>
          <w:p w14:paraId="2124E8DF" w14:textId="77777777" w:rsidR="002C4664" w:rsidRPr="00FE52B3" w:rsidRDefault="002C4664" w:rsidP="002C4664">
            <w:pPr>
              <w:rPr>
                <w:rFonts w:ascii="Book Antiqua" w:hAnsi="Book Antiqua"/>
              </w:rPr>
            </w:pPr>
            <w:r w:rsidRPr="00FE52B3">
              <w:rPr>
                <w:rFonts w:ascii="Book Antiqua" w:hAnsi="Book Antiqua"/>
              </w:rPr>
              <w:t>Multi-Payer ACO screening and follow-up for clinical depression and follow-up plan</w:t>
            </w:r>
          </w:p>
        </w:tc>
        <w:tc>
          <w:tcPr>
            <w:tcW w:w="4979" w:type="dxa"/>
          </w:tcPr>
          <w:p w14:paraId="20066896" w14:textId="23934B5D" w:rsidR="002C4664" w:rsidRPr="00FE52B3" w:rsidRDefault="002C4664" w:rsidP="008F5C5B">
            <w:pPr>
              <w:rPr>
                <w:rFonts w:ascii="Book Antiqua" w:hAnsi="Book Antiqua"/>
              </w:rPr>
            </w:pPr>
            <w:r>
              <w:rPr>
                <w:rFonts w:ascii="Book Antiqua" w:hAnsi="Book Antiqua"/>
              </w:rPr>
              <w:t xml:space="preserve">CHAC institutes ACO-wide depression screening. </w:t>
            </w:r>
            <w:r w:rsidR="008F5C5B">
              <w:rPr>
                <w:rFonts w:ascii="Book Antiqua" w:hAnsi="Book Antiqua"/>
              </w:rPr>
              <w:t xml:space="preserve">Best practice clinical guidelines were developed and approved by the CHAC Clinical Committee.  These </w:t>
            </w:r>
            <w:r>
              <w:rPr>
                <w:rFonts w:ascii="Book Antiqua" w:hAnsi="Book Antiqua"/>
              </w:rPr>
              <w:t xml:space="preserve">practices </w:t>
            </w:r>
            <w:r w:rsidR="008F5C5B">
              <w:rPr>
                <w:rFonts w:ascii="Book Antiqua" w:hAnsi="Book Antiqua"/>
              </w:rPr>
              <w:t xml:space="preserve">have been </w:t>
            </w:r>
            <w:r>
              <w:rPr>
                <w:rFonts w:ascii="Book Antiqua" w:hAnsi="Book Antiqua"/>
              </w:rPr>
              <w:t xml:space="preserve">deployed </w:t>
            </w:r>
            <w:r w:rsidR="008F5C5B">
              <w:rPr>
                <w:rFonts w:ascii="Book Antiqua" w:hAnsi="Book Antiqua"/>
              </w:rPr>
              <w:t xml:space="preserve">across the CHAC network, and beyond to the network of OneCare and </w:t>
            </w:r>
            <w:proofErr w:type="spellStart"/>
            <w:r w:rsidR="008F5C5B">
              <w:rPr>
                <w:rFonts w:ascii="Book Antiqua" w:hAnsi="Book Antiqua"/>
              </w:rPr>
              <w:t>HealthFirst</w:t>
            </w:r>
            <w:proofErr w:type="spellEnd"/>
            <w:r w:rsidR="008F5C5B">
              <w:rPr>
                <w:rFonts w:ascii="Book Antiqua" w:hAnsi="Book Antiqua"/>
              </w:rPr>
              <w:t xml:space="preserve"> providers.   </w:t>
            </w:r>
          </w:p>
        </w:tc>
        <w:tc>
          <w:tcPr>
            <w:tcW w:w="5130" w:type="dxa"/>
          </w:tcPr>
          <w:p w14:paraId="30E71776" w14:textId="6DCDBBA0" w:rsidR="002C4664" w:rsidRPr="00FE52B3" w:rsidRDefault="002C4664" w:rsidP="002C4664">
            <w:pPr>
              <w:rPr>
                <w:rFonts w:ascii="Book Antiqua" w:hAnsi="Book Antiqua"/>
              </w:rPr>
            </w:pPr>
            <w:r>
              <w:rPr>
                <w:rFonts w:ascii="Book Antiqua" w:hAnsi="Book Antiqua"/>
              </w:rPr>
              <w:t>Same activities as previous year.</w:t>
            </w:r>
          </w:p>
        </w:tc>
      </w:tr>
      <w:tr w:rsidR="002C4664" w:rsidRPr="00FE52B3" w14:paraId="50EE9EC7" w14:textId="77777777" w:rsidTr="1687F000">
        <w:tc>
          <w:tcPr>
            <w:tcW w:w="3116" w:type="dxa"/>
          </w:tcPr>
          <w:p w14:paraId="27BEA9B9" w14:textId="77777777" w:rsidR="002C4664" w:rsidRPr="00FE52B3" w:rsidRDefault="002C4664" w:rsidP="002C4664">
            <w:pPr>
              <w:rPr>
                <w:rFonts w:ascii="Book Antiqua" w:hAnsi="Book Antiqua"/>
              </w:rPr>
            </w:pPr>
            <w:r w:rsidRPr="00FE52B3">
              <w:rPr>
                <w:rFonts w:ascii="Book Antiqua" w:hAnsi="Book Antiqua"/>
              </w:rPr>
              <w:t>#per 10,000 population ages 18-64 receiving medication assisted treatment (MAT)</w:t>
            </w:r>
          </w:p>
        </w:tc>
        <w:tc>
          <w:tcPr>
            <w:tcW w:w="4979" w:type="dxa"/>
          </w:tcPr>
          <w:p w14:paraId="5881D414" w14:textId="0F34E64C" w:rsidR="002C4664" w:rsidRPr="00FE52B3" w:rsidRDefault="002C4664" w:rsidP="002C4664">
            <w:pPr>
              <w:rPr>
                <w:rFonts w:ascii="Book Antiqua" w:hAnsi="Book Antiqua"/>
              </w:rPr>
            </w:pPr>
            <w:r>
              <w:rPr>
                <w:rFonts w:ascii="Book Antiqua" w:hAnsi="Book Antiqua"/>
              </w:rPr>
              <w:t xml:space="preserve">None, activities here done at the practice level and linked with Blueprint activities. </w:t>
            </w:r>
          </w:p>
        </w:tc>
        <w:tc>
          <w:tcPr>
            <w:tcW w:w="5130" w:type="dxa"/>
          </w:tcPr>
          <w:p w14:paraId="07B1F41D" w14:textId="77777777" w:rsidR="002C4664" w:rsidRPr="00FE52B3" w:rsidRDefault="002C4664" w:rsidP="002C4664">
            <w:pPr>
              <w:rPr>
                <w:rFonts w:ascii="Book Antiqua" w:hAnsi="Book Antiqua"/>
              </w:rPr>
            </w:pPr>
          </w:p>
        </w:tc>
      </w:tr>
      <w:tr w:rsidR="00AC1B76" w:rsidRPr="00FE52B3" w14:paraId="6CCB3C8A" w14:textId="77777777" w:rsidTr="0016357E">
        <w:tc>
          <w:tcPr>
            <w:tcW w:w="13225" w:type="dxa"/>
            <w:gridSpan w:val="3"/>
            <w:shd w:val="clear" w:color="auto" w:fill="F2F2F2" w:themeFill="background1" w:themeFillShade="F2"/>
          </w:tcPr>
          <w:p w14:paraId="65544440" w14:textId="77777777" w:rsidR="00AC1B76" w:rsidRPr="00FE52B3" w:rsidRDefault="00AC1B76" w:rsidP="0016357E">
            <w:pPr>
              <w:jc w:val="center"/>
              <w:rPr>
                <w:rFonts w:ascii="Book Antiqua" w:hAnsi="Book Antiqua"/>
                <w:b/>
                <w:sz w:val="24"/>
                <w:szCs w:val="24"/>
              </w:rPr>
            </w:pPr>
            <w:r w:rsidRPr="00FE52B3">
              <w:rPr>
                <w:rFonts w:ascii="Book Antiqua" w:hAnsi="Book Antiqua"/>
                <w:b/>
                <w:sz w:val="24"/>
                <w:szCs w:val="24"/>
              </w:rPr>
              <w:t>Goal #3: Reduce Prevalence and Morbidity of Chronic Disease (COPD, Hypertension, Diabetes)</w:t>
            </w:r>
          </w:p>
        </w:tc>
      </w:tr>
      <w:tr w:rsidR="00AC1B76" w:rsidRPr="00FE52B3" w14:paraId="0D6793DD" w14:textId="77777777" w:rsidTr="0016357E">
        <w:tc>
          <w:tcPr>
            <w:tcW w:w="3116" w:type="dxa"/>
          </w:tcPr>
          <w:p w14:paraId="4BDE6C8C" w14:textId="77777777" w:rsidR="00AC1B76" w:rsidRPr="00FE52B3" w:rsidRDefault="00AC1B76" w:rsidP="0016357E">
            <w:pPr>
              <w:rPr>
                <w:rFonts w:ascii="Book Antiqua" w:hAnsi="Book Antiqua"/>
              </w:rPr>
            </w:pPr>
            <w:r w:rsidRPr="00FE52B3">
              <w:rPr>
                <w:rFonts w:ascii="Book Antiqua" w:hAnsi="Book Antiqua"/>
              </w:rPr>
              <w:lastRenderedPageBreak/>
              <w:t>Statewide prevalence of chronic disease: COPD</w:t>
            </w:r>
          </w:p>
        </w:tc>
        <w:tc>
          <w:tcPr>
            <w:tcW w:w="4979" w:type="dxa"/>
          </w:tcPr>
          <w:p w14:paraId="2EF71EC9" w14:textId="77777777" w:rsidR="00AC1B76" w:rsidRPr="00FE52B3" w:rsidRDefault="00AC1B76" w:rsidP="0016357E">
            <w:pPr>
              <w:rPr>
                <w:rFonts w:ascii="Book Antiqua" w:hAnsi="Book Antiqua"/>
              </w:rPr>
            </w:pPr>
            <w:r>
              <w:rPr>
                <w:rFonts w:ascii="Book Antiqua" w:hAnsi="Book Antiqua"/>
              </w:rPr>
              <w:t xml:space="preserve">CHAC has established standard clinical guidelines around Diabetes, Congestive Heart Failure, COPD, and Falls Prevention. In addition, CHAC practices support the integration of preventative screening (including annual HgA1c, B/P, and BMI screenings; and biannual screening for tobacco use).  These screenings support the early identification of (and in some cases prevention of) hypertension, diabetes, and COPD. </w:t>
            </w:r>
          </w:p>
        </w:tc>
        <w:tc>
          <w:tcPr>
            <w:tcW w:w="5130" w:type="dxa"/>
          </w:tcPr>
          <w:p w14:paraId="5964DC62" w14:textId="77777777" w:rsidR="00AC1B76" w:rsidRPr="00FE52B3" w:rsidRDefault="00AC1B76" w:rsidP="0016357E">
            <w:pPr>
              <w:rPr>
                <w:rFonts w:ascii="Book Antiqua" w:hAnsi="Book Antiqua"/>
              </w:rPr>
            </w:pPr>
            <w:r>
              <w:rPr>
                <w:rFonts w:ascii="Book Antiqua" w:hAnsi="Book Antiqua"/>
              </w:rPr>
              <w:t xml:space="preserve">Expand training and QI support. </w:t>
            </w:r>
          </w:p>
        </w:tc>
      </w:tr>
      <w:tr w:rsidR="00AC1B76" w:rsidRPr="00FE52B3" w14:paraId="33C136EA" w14:textId="77777777" w:rsidTr="0016357E">
        <w:tc>
          <w:tcPr>
            <w:tcW w:w="3116" w:type="dxa"/>
          </w:tcPr>
          <w:p w14:paraId="59A04D37" w14:textId="77777777" w:rsidR="00AC1B76" w:rsidRPr="00FE52B3" w:rsidRDefault="00AC1B76" w:rsidP="0016357E">
            <w:pPr>
              <w:rPr>
                <w:rFonts w:ascii="Book Antiqua" w:hAnsi="Book Antiqua"/>
              </w:rPr>
            </w:pPr>
            <w:r w:rsidRPr="00FE52B3">
              <w:rPr>
                <w:rFonts w:ascii="Book Antiqua" w:hAnsi="Book Antiqua"/>
              </w:rPr>
              <w:t>Statewide prevalence of chronic disease: hypertension</w:t>
            </w:r>
          </w:p>
        </w:tc>
        <w:tc>
          <w:tcPr>
            <w:tcW w:w="4979" w:type="dxa"/>
          </w:tcPr>
          <w:p w14:paraId="75BF1F34" w14:textId="77777777" w:rsidR="00AC1B76" w:rsidRPr="00FE52B3" w:rsidRDefault="00AC1B76" w:rsidP="0016357E">
            <w:pPr>
              <w:rPr>
                <w:rFonts w:ascii="Book Antiqua" w:hAnsi="Book Antiqua"/>
              </w:rPr>
            </w:pPr>
            <w:r>
              <w:rPr>
                <w:rFonts w:ascii="Book Antiqua" w:hAnsi="Book Antiqua"/>
              </w:rPr>
              <w:t>See above</w:t>
            </w:r>
          </w:p>
        </w:tc>
        <w:tc>
          <w:tcPr>
            <w:tcW w:w="5130" w:type="dxa"/>
          </w:tcPr>
          <w:p w14:paraId="401D0121" w14:textId="77777777" w:rsidR="00AC1B76" w:rsidRPr="00FE52B3" w:rsidRDefault="00AC1B76" w:rsidP="0016357E">
            <w:pPr>
              <w:rPr>
                <w:rFonts w:ascii="Book Antiqua" w:hAnsi="Book Antiqua"/>
              </w:rPr>
            </w:pPr>
            <w:r>
              <w:rPr>
                <w:rFonts w:ascii="Book Antiqua" w:hAnsi="Book Antiqua"/>
              </w:rPr>
              <w:t xml:space="preserve">Expand training and QI support. </w:t>
            </w:r>
          </w:p>
        </w:tc>
      </w:tr>
      <w:tr w:rsidR="00AC1B76" w:rsidRPr="00FE52B3" w14:paraId="5B121925" w14:textId="77777777" w:rsidTr="0016357E">
        <w:tc>
          <w:tcPr>
            <w:tcW w:w="3116" w:type="dxa"/>
          </w:tcPr>
          <w:p w14:paraId="16648661" w14:textId="77777777" w:rsidR="00AC1B76" w:rsidRPr="00FE52B3" w:rsidRDefault="00AC1B76" w:rsidP="0016357E">
            <w:pPr>
              <w:rPr>
                <w:rFonts w:ascii="Book Antiqua" w:hAnsi="Book Antiqua"/>
              </w:rPr>
            </w:pPr>
            <w:r w:rsidRPr="00FE52B3">
              <w:rPr>
                <w:rFonts w:ascii="Book Antiqua" w:hAnsi="Book Antiqua"/>
              </w:rPr>
              <w:t>Statewide prevalence of chronic disease: diabetes</w:t>
            </w:r>
          </w:p>
        </w:tc>
        <w:tc>
          <w:tcPr>
            <w:tcW w:w="4979" w:type="dxa"/>
          </w:tcPr>
          <w:p w14:paraId="2983E2C6" w14:textId="77777777" w:rsidR="00AC1B76" w:rsidRPr="00FE52B3" w:rsidRDefault="00AC1B76" w:rsidP="0016357E">
            <w:pPr>
              <w:rPr>
                <w:rFonts w:ascii="Book Antiqua" w:hAnsi="Book Antiqua"/>
              </w:rPr>
            </w:pPr>
            <w:r>
              <w:rPr>
                <w:rFonts w:ascii="Book Antiqua" w:hAnsi="Book Antiqua"/>
              </w:rPr>
              <w:t xml:space="preserve">See above </w:t>
            </w:r>
          </w:p>
        </w:tc>
        <w:tc>
          <w:tcPr>
            <w:tcW w:w="5130" w:type="dxa"/>
          </w:tcPr>
          <w:p w14:paraId="439F8DDC" w14:textId="77777777" w:rsidR="00AC1B76" w:rsidRPr="00FE52B3" w:rsidRDefault="00AC1B76" w:rsidP="0016357E">
            <w:pPr>
              <w:rPr>
                <w:rFonts w:ascii="Book Antiqua" w:hAnsi="Book Antiqua"/>
              </w:rPr>
            </w:pPr>
            <w:r>
              <w:rPr>
                <w:rFonts w:ascii="Book Antiqua" w:hAnsi="Book Antiqua"/>
              </w:rPr>
              <w:t xml:space="preserve">Expand training and QI support. </w:t>
            </w:r>
          </w:p>
        </w:tc>
      </w:tr>
      <w:tr w:rsidR="00AC1B76" w:rsidRPr="00FE52B3" w14:paraId="36E513BF" w14:textId="77777777" w:rsidTr="0016357E">
        <w:tc>
          <w:tcPr>
            <w:tcW w:w="3116" w:type="dxa"/>
          </w:tcPr>
          <w:p w14:paraId="605B93AE" w14:textId="77777777" w:rsidR="00AC1B76" w:rsidRPr="00FE52B3" w:rsidRDefault="00AC1B76" w:rsidP="0016357E">
            <w:pPr>
              <w:rPr>
                <w:rFonts w:ascii="Book Antiqua" w:hAnsi="Book Antiqua"/>
              </w:rPr>
            </w:pPr>
            <w:r w:rsidRPr="00FE52B3">
              <w:rPr>
                <w:rFonts w:ascii="Book Antiqua" w:hAnsi="Book Antiqua"/>
              </w:rPr>
              <w:t>Medicare ACO chronic disease composite: Dia</w:t>
            </w:r>
            <w:r>
              <w:rPr>
                <w:rFonts w:ascii="Book Antiqua" w:hAnsi="Book Antiqua"/>
              </w:rPr>
              <w:t>b</w:t>
            </w:r>
            <w:r w:rsidRPr="00FE52B3">
              <w:rPr>
                <w:rFonts w:ascii="Book Antiqua" w:hAnsi="Book Antiqua"/>
              </w:rPr>
              <w:t>etes HbA1c poor control; controlling high blood pressure; and all-cause unplanned admissions for patients with multiple chronic conditions</w:t>
            </w:r>
          </w:p>
        </w:tc>
        <w:tc>
          <w:tcPr>
            <w:tcW w:w="4979" w:type="dxa"/>
          </w:tcPr>
          <w:p w14:paraId="343D61FD" w14:textId="77777777" w:rsidR="00AC1B76" w:rsidRPr="00FE52B3" w:rsidRDefault="00AC1B76" w:rsidP="0016357E">
            <w:pPr>
              <w:rPr>
                <w:rFonts w:ascii="Book Antiqua" w:hAnsi="Book Antiqua"/>
              </w:rPr>
            </w:pPr>
            <w:r>
              <w:rPr>
                <w:rFonts w:ascii="Book Antiqua" w:hAnsi="Book Antiqua"/>
              </w:rPr>
              <w:t>CHAC QI staff have encouraged the incorporation of b</w:t>
            </w:r>
            <w:r w:rsidRPr="000A67D8">
              <w:rPr>
                <w:rFonts w:ascii="Book Antiqua" w:hAnsi="Book Antiqua"/>
              </w:rPr>
              <w:t>est practice clinical guidelines</w:t>
            </w:r>
            <w:r>
              <w:rPr>
                <w:rFonts w:ascii="Book Antiqua" w:hAnsi="Book Antiqua"/>
              </w:rPr>
              <w:t xml:space="preserve">, </w:t>
            </w:r>
            <w:r w:rsidRPr="000A67D8">
              <w:rPr>
                <w:rFonts w:ascii="Book Antiqua" w:hAnsi="Book Antiqua"/>
              </w:rPr>
              <w:t>developed and approved by the CHAC Clinical Committee</w:t>
            </w:r>
            <w:r>
              <w:rPr>
                <w:rFonts w:ascii="Book Antiqua" w:hAnsi="Book Antiqua"/>
              </w:rPr>
              <w:t>,</w:t>
            </w:r>
            <w:r w:rsidRPr="000A67D8">
              <w:rPr>
                <w:rFonts w:ascii="Book Antiqua" w:hAnsi="Book Antiqua"/>
              </w:rPr>
              <w:t xml:space="preserve"> </w:t>
            </w:r>
            <w:r>
              <w:rPr>
                <w:rFonts w:ascii="Book Antiqua" w:hAnsi="Book Antiqua"/>
              </w:rPr>
              <w:t xml:space="preserve">into provider workflows.  This effort has targeted all provider participants not just PCPs. CHAC worked with its participants to ensure they had incorporated at least one guideline into daily patient care. </w:t>
            </w:r>
          </w:p>
        </w:tc>
        <w:tc>
          <w:tcPr>
            <w:tcW w:w="5130" w:type="dxa"/>
          </w:tcPr>
          <w:p w14:paraId="31E4F057" w14:textId="77777777" w:rsidR="00AC1B76" w:rsidRPr="00FE52B3" w:rsidRDefault="00AC1B76" w:rsidP="0016357E">
            <w:pPr>
              <w:rPr>
                <w:rFonts w:ascii="Book Antiqua" w:hAnsi="Book Antiqua"/>
              </w:rPr>
            </w:pPr>
            <w:r>
              <w:rPr>
                <w:rFonts w:ascii="Book Antiqua" w:hAnsi="Book Antiqua"/>
              </w:rPr>
              <w:t xml:space="preserve">No data is available to conduct these activities. </w:t>
            </w:r>
          </w:p>
        </w:tc>
      </w:tr>
      <w:tr w:rsidR="00AC1B76" w:rsidRPr="00FE52B3" w14:paraId="0DEF6A3F" w14:textId="77777777" w:rsidTr="0016357E">
        <w:tc>
          <w:tcPr>
            <w:tcW w:w="3116" w:type="dxa"/>
          </w:tcPr>
          <w:p w14:paraId="0D334D92" w14:textId="77777777" w:rsidR="00AC1B76" w:rsidRPr="00FE52B3" w:rsidRDefault="00AC1B76" w:rsidP="0016357E">
            <w:pPr>
              <w:rPr>
                <w:rFonts w:ascii="Book Antiqua" w:hAnsi="Book Antiqua"/>
              </w:rPr>
            </w:pPr>
            <w:r w:rsidRPr="00FE52B3">
              <w:rPr>
                <w:rFonts w:ascii="Book Antiqua" w:hAnsi="Book Antiqua"/>
              </w:rPr>
              <w:t>Percentage of VT residents receiving appropriate asthma medication management</w:t>
            </w:r>
          </w:p>
        </w:tc>
        <w:tc>
          <w:tcPr>
            <w:tcW w:w="4979" w:type="dxa"/>
          </w:tcPr>
          <w:p w14:paraId="0433A2F3" w14:textId="77777777" w:rsidR="00AC1B76" w:rsidRPr="00FE52B3" w:rsidRDefault="00AC1B76" w:rsidP="0016357E">
            <w:pPr>
              <w:rPr>
                <w:rFonts w:ascii="Book Antiqua" w:hAnsi="Book Antiqua"/>
              </w:rPr>
            </w:pPr>
            <w:r>
              <w:rPr>
                <w:rFonts w:ascii="Book Antiqua" w:hAnsi="Book Antiqua"/>
              </w:rPr>
              <w:t xml:space="preserve">No activities planned or in place </w:t>
            </w:r>
          </w:p>
        </w:tc>
        <w:tc>
          <w:tcPr>
            <w:tcW w:w="5130" w:type="dxa"/>
          </w:tcPr>
          <w:p w14:paraId="4BFEEDA3" w14:textId="77777777" w:rsidR="00AC1B76" w:rsidRPr="00FE52B3" w:rsidRDefault="00AC1B76" w:rsidP="0016357E">
            <w:pPr>
              <w:rPr>
                <w:rFonts w:ascii="Book Antiqua" w:hAnsi="Book Antiqua"/>
              </w:rPr>
            </w:pPr>
          </w:p>
        </w:tc>
      </w:tr>
      <w:tr w:rsidR="00AC1B76" w:rsidRPr="00FE52B3" w14:paraId="5C59B53D" w14:textId="77777777" w:rsidTr="0016357E">
        <w:tc>
          <w:tcPr>
            <w:tcW w:w="3116" w:type="dxa"/>
          </w:tcPr>
          <w:p w14:paraId="34CBB92C" w14:textId="77777777" w:rsidR="00AC1B76" w:rsidRPr="00FE52B3" w:rsidRDefault="00AC1B76" w:rsidP="0016357E">
            <w:pPr>
              <w:rPr>
                <w:rFonts w:ascii="Book Antiqua" w:hAnsi="Book Antiqua"/>
              </w:rPr>
            </w:pPr>
            <w:r w:rsidRPr="00FE52B3">
              <w:rPr>
                <w:rFonts w:ascii="Book Antiqua" w:hAnsi="Book Antiqua"/>
              </w:rPr>
              <w:t>Multi-Payer ACO tobacco use assessment and cessation intervention</w:t>
            </w:r>
          </w:p>
        </w:tc>
        <w:tc>
          <w:tcPr>
            <w:tcW w:w="4979" w:type="dxa"/>
          </w:tcPr>
          <w:p w14:paraId="068B8F00" w14:textId="77777777" w:rsidR="00AC1B76" w:rsidRDefault="00AC1B76" w:rsidP="0016357E">
            <w:pPr>
              <w:rPr>
                <w:rFonts w:ascii="Book Antiqua" w:hAnsi="Book Antiqua"/>
              </w:rPr>
            </w:pPr>
            <w:r>
              <w:rPr>
                <w:rFonts w:ascii="Book Antiqua" w:hAnsi="Book Antiqua"/>
              </w:rPr>
              <w:t xml:space="preserve">This is a CHAC ACO measure that is reviewed consistently.  </w:t>
            </w:r>
          </w:p>
          <w:p w14:paraId="32F9A773" w14:textId="77777777" w:rsidR="00AC1B76" w:rsidRPr="00FE52B3" w:rsidRDefault="00AC1B76" w:rsidP="0016357E">
            <w:pPr>
              <w:rPr>
                <w:rFonts w:ascii="Book Antiqua" w:hAnsi="Book Antiqua"/>
              </w:rPr>
            </w:pPr>
            <w:r>
              <w:rPr>
                <w:rFonts w:ascii="Book Antiqua" w:hAnsi="Book Antiqua"/>
              </w:rPr>
              <w:t xml:space="preserve"> </w:t>
            </w:r>
          </w:p>
        </w:tc>
        <w:tc>
          <w:tcPr>
            <w:tcW w:w="5130" w:type="dxa"/>
          </w:tcPr>
          <w:p w14:paraId="2E99C650" w14:textId="77777777" w:rsidR="00AC1B76" w:rsidRPr="00FE52B3" w:rsidRDefault="00AC1B76" w:rsidP="0016357E">
            <w:pPr>
              <w:rPr>
                <w:rFonts w:ascii="Book Antiqua" w:hAnsi="Book Antiqua"/>
              </w:rPr>
            </w:pPr>
            <w:r>
              <w:rPr>
                <w:rFonts w:ascii="Book Antiqua" w:hAnsi="Book Antiqua"/>
              </w:rPr>
              <w:t xml:space="preserve">Same activities as previous year. </w:t>
            </w:r>
          </w:p>
        </w:tc>
      </w:tr>
    </w:tbl>
    <w:p w14:paraId="701A06B6" w14:textId="64BEEDCC" w:rsidR="008C753F" w:rsidRDefault="00AC1B76">
      <w:r>
        <w:t xml:space="preserve"> </w:t>
      </w:r>
    </w:p>
    <w:p w14:paraId="73822776" w14:textId="77777777" w:rsidR="00091E27" w:rsidRPr="00FE52B3" w:rsidRDefault="00091E27" w:rsidP="00AC1B76">
      <w:pPr>
        <w:rPr>
          <w:rFonts w:ascii="Book Antiqua" w:hAnsi="Book Antiqua"/>
        </w:rPr>
      </w:pPr>
    </w:p>
    <w:sectPr w:rsidR="00091E27" w:rsidRPr="00FE52B3" w:rsidSect="00FE52B3">
      <w:footerReference w:type="default" r:id="rId9"/>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164A0" w14:textId="77777777" w:rsidR="003F6A67" w:rsidRDefault="003F6A67" w:rsidP="00FE52B3">
      <w:pPr>
        <w:spacing w:after="0" w:line="240" w:lineRule="auto"/>
      </w:pPr>
      <w:r>
        <w:separator/>
      </w:r>
    </w:p>
  </w:endnote>
  <w:endnote w:type="continuationSeparator" w:id="0">
    <w:p w14:paraId="190E599B" w14:textId="77777777" w:rsidR="003F6A67" w:rsidRDefault="003F6A67" w:rsidP="00F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52513"/>
      <w:docPartObj>
        <w:docPartGallery w:val="Page Numbers (Bottom of Page)"/>
        <w:docPartUnique/>
      </w:docPartObj>
    </w:sdtPr>
    <w:sdtEndPr>
      <w:rPr>
        <w:rFonts w:ascii="Book Antiqua" w:hAnsi="Book Antiqua"/>
        <w:noProof/>
      </w:rPr>
    </w:sdtEndPr>
    <w:sdtContent>
      <w:p w14:paraId="30E1D44F" w14:textId="388726E0" w:rsidR="00FE52B3" w:rsidRPr="00FE52B3" w:rsidRDefault="00FE52B3">
        <w:pPr>
          <w:pStyle w:val="Footer"/>
          <w:jc w:val="right"/>
          <w:rPr>
            <w:rFonts w:ascii="Book Antiqua" w:hAnsi="Book Antiqua"/>
          </w:rPr>
        </w:pPr>
        <w:r w:rsidRPr="00FE52B3">
          <w:rPr>
            <w:rFonts w:ascii="Book Antiqua" w:hAnsi="Book Antiqua"/>
          </w:rPr>
          <w:fldChar w:fldCharType="begin"/>
        </w:r>
        <w:r w:rsidRPr="00FE52B3">
          <w:rPr>
            <w:rFonts w:ascii="Book Antiqua" w:hAnsi="Book Antiqua"/>
          </w:rPr>
          <w:instrText xml:space="preserve"> PAGE   \* MERGEFORMAT </w:instrText>
        </w:r>
        <w:r w:rsidRPr="00FE52B3">
          <w:rPr>
            <w:rFonts w:ascii="Book Antiqua" w:hAnsi="Book Antiqua"/>
          </w:rPr>
          <w:fldChar w:fldCharType="separate"/>
        </w:r>
        <w:r w:rsidR="00694941">
          <w:rPr>
            <w:rFonts w:ascii="Book Antiqua" w:hAnsi="Book Antiqua"/>
            <w:noProof/>
          </w:rPr>
          <w:t>1</w:t>
        </w:r>
        <w:r w:rsidRPr="00FE52B3">
          <w:rPr>
            <w:rFonts w:ascii="Book Antiqua" w:hAnsi="Book Antiqua"/>
            <w:noProof/>
          </w:rPr>
          <w:fldChar w:fldCharType="end"/>
        </w:r>
      </w:p>
    </w:sdtContent>
  </w:sdt>
  <w:p w14:paraId="629AAE3E" w14:textId="77777777" w:rsidR="00FE52B3" w:rsidRDefault="00FE52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A4650" w14:textId="77777777" w:rsidR="003F6A67" w:rsidRDefault="003F6A67" w:rsidP="00FE52B3">
      <w:pPr>
        <w:spacing w:after="0" w:line="240" w:lineRule="auto"/>
      </w:pPr>
      <w:r>
        <w:separator/>
      </w:r>
    </w:p>
  </w:footnote>
  <w:footnote w:type="continuationSeparator" w:id="0">
    <w:p w14:paraId="356766E6" w14:textId="77777777" w:rsidR="003F6A67" w:rsidRDefault="003F6A67" w:rsidP="00FE5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27"/>
    <w:rsid w:val="000338EC"/>
    <w:rsid w:val="0004317E"/>
    <w:rsid w:val="0006267A"/>
    <w:rsid w:val="00076D17"/>
    <w:rsid w:val="00091E27"/>
    <w:rsid w:val="000A67D8"/>
    <w:rsid w:val="000C4F78"/>
    <w:rsid w:val="00104882"/>
    <w:rsid w:val="001B7F14"/>
    <w:rsid w:val="002273AE"/>
    <w:rsid w:val="002439DE"/>
    <w:rsid w:val="002B16FA"/>
    <w:rsid w:val="002C4664"/>
    <w:rsid w:val="002E4FE0"/>
    <w:rsid w:val="00363E2A"/>
    <w:rsid w:val="00371D75"/>
    <w:rsid w:val="003F6A67"/>
    <w:rsid w:val="00512298"/>
    <w:rsid w:val="00694941"/>
    <w:rsid w:val="00700D7F"/>
    <w:rsid w:val="007A20CA"/>
    <w:rsid w:val="007E7C3A"/>
    <w:rsid w:val="008C753F"/>
    <w:rsid w:val="008F5C5B"/>
    <w:rsid w:val="00967070"/>
    <w:rsid w:val="0097799D"/>
    <w:rsid w:val="009A7A1C"/>
    <w:rsid w:val="009F2CF2"/>
    <w:rsid w:val="00A33563"/>
    <w:rsid w:val="00A372D4"/>
    <w:rsid w:val="00AC1B76"/>
    <w:rsid w:val="00B05CF1"/>
    <w:rsid w:val="00B4452F"/>
    <w:rsid w:val="00B65763"/>
    <w:rsid w:val="00B660BD"/>
    <w:rsid w:val="00CD5C51"/>
    <w:rsid w:val="00DE788F"/>
    <w:rsid w:val="00EA3023"/>
    <w:rsid w:val="00FE52B3"/>
    <w:rsid w:val="02245737"/>
    <w:rsid w:val="1687F000"/>
    <w:rsid w:val="219CE7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8E5D"/>
  <w15:chartTrackingRefBased/>
  <w15:docId w15:val="{AD73408C-5E67-44B0-AF85-72413D0E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B3"/>
  </w:style>
  <w:style w:type="paragraph" w:styleId="Footer">
    <w:name w:val="footer"/>
    <w:basedOn w:val="Normal"/>
    <w:link w:val="FooterChar"/>
    <w:uiPriority w:val="99"/>
    <w:unhideWhenUsed/>
    <w:rsid w:val="00FE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B3"/>
  </w:style>
  <w:style w:type="paragraph" w:styleId="Revision">
    <w:name w:val="Revision"/>
    <w:hidden/>
    <w:uiPriority w:val="99"/>
    <w:semiHidden/>
    <w:rsid w:val="00700D7F"/>
    <w:pPr>
      <w:spacing w:after="0" w:line="240" w:lineRule="auto"/>
    </w:pPr>
  </w:style>
  <w:style w:type="paragraph" w:styleId="BalloonText">
    <w:name w:val="Balloon Text"/>
    <w:basedOn w:val="Normal"/>
    <w:link w:val="BalloonTextChar"/>
    <w:uiPriority w:val="99"/>
    <w:semiHidden/>
    <w:unhideWhenUsed/>
    <w:rsid w:val="0070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7F"/>
    <w:rPr>
      <w:rFonts w:ascii="Segoe UI" w:hAnsi="Segoe UI" w:cs="Segoe UI"/>
      <w:sz w:val="18"/>
      <w:szCs w:val="18"/>
    </w:rPr>
  </w:style>
  <w:style w:type="character" w:styleId="CommentReference">
    <w:name w:val="annotation reference"/>
    <w:basedOn w:val="DefaultParagraphFont"/>
    <w:uiPriority w:val="99"/>
    <w:semiHidden/>
    <w:unhideWhenUsed/>
    <w:rsid w:val="008F5C5B"/>
    <w:rPr>
      <w:sz w:val="16"/>
      <w:szCs w:val="16"/>
    </w:rPr>
  </w:style>
  <w:style w:type="paragraph" w:styleId="CommentText">
    <w:name w:val="annotation text"/>
    <w:basedOn w:val="Normal"/>
    <w:link w:val="CommentTextChar"/>
    <w:uiPriority w:val="99"/>
    <w:semiHidden/>
    <w:unhideWhenUsed/>
    <w:rsid w:val="008F5C5B"/>
    <w:pPr>
      <w:spacing w:line="240" w:lineRule="auto"/>
    </w:pPr>
    <w:rPr>
      <w:sz w:val="20"/>
      <w:szCs w:val="20"/>
    </w:rPr>
  </w:style>
  <w:style w:type="character" w:customStyle="1" w:styleId="CommentTextChar">
    <w:name w:val="Comment Text Char"/>
    <w:basedOn w:val="DefaultParagraphFont"/>
    <w:link w:val="CommentText"/>
    <w:uiPriority w:val="99"/>
    <w:semiHidden/>
    <w:rsid w:val="008F5C5B"/>
    <w:rPr>
      <w:sz w:val="20"/>
      <w:szCs w:val="20"/>
    </w:rPr>
  </w:style>
  <w:style w:type="paragraph" w:styleId="CommentSubject">
    <w:name w:val="annotation subject"/>
    <w:basedOn w:val="CommentText"/>
    <w:next w:val="CommentText"/>
    <w:link w:val="CommentSubjectChar"/>
    <w:uiPriority w:val="99"/>
    <w:semiHidden/>
    <w:unhideWhenUsed/>
    <w:rsid w:val="008F5C5B"/>
    <w:rPr>
      <w:b/>
      <w:bCs/>
    </w:rPr>
  </w:style>
  <w:style w:type="character" w:customStyle="1" w:styleId="CommentSubjectChar">
    <w:name w:val="Comment Subject Char"/>
    <w:basedOn w:val="CommentTextChar"/>
    <w:link w:val="CommentSubject"/>
    <w:uiPriority w:val="99"/>
    <w:semiHidden/>
    <w:rsid w:val="008F5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D69A2BBCDF84CBBFCCB0B9D571BD8" ma:contentTypeVersion="2" ma:contentTypeDescription="Create a new document." ma:contentTypeScope="" ma:versionID="21a9cd284eaff6a7907275ba84376d4c">
  <xsd:schema xmlns:xsd="http://www.w3.org/2001/XMLSchema" xmlns:xs="http://www.w3.org/2001/XMLSchema" xmlns:p="http://schemas.microsoft.com/office/2006/metadata/properties" xmlns:ns2="d29a8555-db37-4257-91ea-e6d336cdedf2" targetNamespace="http://schemas.microsoft.com/office/2006/metadata/properties" ma:root="true" ma:fieldsID="bb613e9c90126b2eac45d0759a86ef3c" ns2:_="">
    <xsd:import namespace="d29a8555-db37-4257-91ea-e6d336cded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05621-EF04-4351-9ECE-360ABA1644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5F41A-10B0-452B-AE66-638C621C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A4500-6EDA-4611-9A3B-E7506449D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Samantha Jones</cp:lastModifiedBy>
  <cp:revision>3</cp:revision>
  <dcterms:created xsi:type="dcterms:W3CDTF">2017-06-02T04:09:00Z</dcterms:created>
  <dcterms:modified xsi:type="dcterms:W3CDTF">2017-06-02T04:11:00Z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0x010100285D69A2BBCDF84CBBFCCB0B9D571BD8</vt:lpwstr>
  </property>
</Properties>
</file>