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pPr w:leftFromText="180" w:rightFromText="180" w:vertAnchor="page" w:horzAnchor="margin" w:tblpY="1681"/>
        <w:tblW w:w="14688" w:type="dxa"/>
        <w:tblLook w:val="0420" w:firstRow="1" w:lastRow="0" w:firstColumn="0" w:lastColumn="0" w:noHBand="0" w:noVBand="1"/>
      </w:tblPr>
      <w:tblGrid>
        <w:gridCol w:w="2124"/>
        <w:gridCol w:w="2624"/>
        <w:gridCol w:w="2587"/>
        <w:gridCol w:w="3033"/>
        <w:gridCol w:w="2061"/>
        <w:gridCol w:w="2259"/>
      </w:tblGrid>
      <w:tr w:rsidR="00EE5CC7" w:rsidRPr="00EE5CC7" w:rsidTr="00CF5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tcW w:w="2124" w:type="dxa"/>
            <w:vAlign w:val="bottom"/>
            <w:hideMark/>
          </w:tcPr>
          <w:p w:rsidR="00EE5CC7" w:rsidRPr="00EE5CC7" w:rsidRDefault="00EE5CC7" w:rsidP="00CF51E6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5CC7">
              <w:rPr>
                <w:rFonts w:ascii="Calibri" w:eastAsia="Times New Roman" w:hAnsi="Calibri" w:cs="Calibri"/>
                <w:bCs w:val="0"/>
                <w:kern w:val="24"/>
                <w:sz w:val="36"/>
                <w:szCs w:val="36"/>
              </w:rPr>
              <w:t>Program</w:t>
            </w:r>
          </w:p>
        </w:tc>
        <w:tc>
          <w:tcPr>
            <w:tcW w:w="2624" w:type="dxa"/>
            <w:vAlign w:val="bottom"/>
            <w:hideMark/>
          </w:tcPr>
          <w:p w:rsidR="00EE5CC7" w:rsidRPr="00EE5CC7" w:rsidRDefault="00EE5CC7" w:rsidP="00CF51E6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5CC7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Description</w:t>
            </w:r>
          </w:p>
        </w:tc>
        <w:tc>
          <w:tcPr>
            <w:tcW w:w="2587" w:type="dxa"/>
            <w:vAlign w:val="bottom"/>
            <w:hideMark/>
          </w:tcPr>
          <w:p w:rsidR="00EE5CC7" w:rsidRPr="00EE5CC7" w:rsidRDefault="00EE5CC7" w:rsidP="00CF51E6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5CC7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Operational Model</w:t>
            </w:r>
          </w:p>
        </w:tc>
        <w:tc>
          <w:tcPr>
            <w:tcW w:w="3033" w:type="dxa"/>
            <w:vAlign w:val="bottom"/>
            <w:hideMark/>
          </w:tcPr>
          <w:p w:rsidR="00EE5CC7" w:rsidRPr="00EE5CC7" w:rsidRDefault="00EE5CC7" w:rsidP="00CF51E6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5CC7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Financial Model</w:t>
            </w:r>
          </w:p>
        </w:tc>
        <w:tc>
          <w:tcPr>
            <w:tcW w:w="2061" w:type="dxa"/>
            <w:vAlign w:val="bottom"/>
            <w:hideMark/>
          </w:tcPr>
          <w:p w:rsidR="00EE5CC7" w:rsidRPr="00EE5CC7" w:rsidRDefault="00EE5CC7" w:rsidP="00CF51E6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5CC7">
              <w:rPr>
                <w:rFonts w:ascii="Calibri" w:eastAsia="Times New Roman" w:hAnsi="Calibri" w:cs="Calibri"/>
                <w:kern w:val="24"/>
                <w:sz w:val="36"/>
                <w:szCs w:val="36"/>
              </w:rPr>
              <w:t>Recipients</w:t>
            </w:r>
          </w:p>
        </w:tc>
        <w:tc>
          <w:tcPr>
            <w:tcW w:w="2259" w:type="dxa"/>
            <w:vAlign w:val="bottom"/>
          </w:tcPr>
          <w:p w:rsidR="00EE5CC7" w:rsidRPr="00EE5CC7" w:rsidRDefault="00EE5CC7" w:rsidP="00CF51E6">
            <w:pPr>
              <w:jc w:val="center"/>
              <w:rPr>
                <w:rFonts w:ascii="Calibri" w:eastAsia="Times New Roman" w:hAnsi="Calibri" w:cs="Calibri"/>
                <w:bCs w:val="0"/>
                <w:kern w:val="24"/>
                <w:sz w:val="36"/>
                <w:szCs w:val="36"/>
              </w:rPr>
            </w:pPr>
            <w:r w:rsidRPr="00EE5CC7">
              <w:rPr>
                <w:rFonts w:ascii="Calibri" w:eastAsia="Times New Roman" w:hAnsi="Calibri" w:cs="Calibri"/>
                <w:bCs w:val="0"/>
                <w:kern w:val="24"/>
                <w:sz w:val="36"/>
                <w:szCs w:val="36"/>
              </w:rPr>
              <w:t>Investment Amount</w:t>
            </w:r>
          </w:p>
        </w:tc>
      </w:tr>
      <w:tr w:rsidR="00EE5CC7" w:rsidRPr="00EE5CC7" w:rsidTr="00CF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124" w:type="dxa"/>
            <w:hideMark/>
          </w:tcPr>
          <w:p w:rsidR="00EE5CC7" w:rsidRPr="00EE5CC7" w:rsidRDefault="00EE5CC7" w:rsidP="00CF51E6">
            <w:pPr>
              <w:textAlignment w:val="bottom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auto"/>
                <w:kern w:val="24"/>
                <w:sz w:val="20"/>
                <w:szCs w:val="20"/>
              </w:rPr>
              <w:t>Value-Based Incentive Fund</w:t>
            </w:r>
          </w:p>
        </w:tc>
        <w:tc>
          <w:tcPr>
            <w:tcW w:w="2624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Fund to reward/incent high quality performance on program metrics</w:t>
            </w:r>
          </w:p>
        </w:tc>
        <w:tc>
          <w:tcPr>
            <w:tcW w:w="2587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ACO sets aside funds from TCOC targets to pay to network on quality performance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Funds not distributed are retained toward QI efforts by ACO and its communities</w:t>
            </w:r>
          </w:p>
        </w:tc>
        <w:tc>
          <w:tcPr>
            <w:tcW w:w="3033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1.5% of TCOC for VMNG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0.5% for Modified Medicare Next Generation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0.5% for BCBSVT XSSP2</w:t>
            </w:r>
          </w:p>
        </w:tc>
        <w:tc>
          <w:tcPr>
            <w:tcW w:w="2061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Distributed 70% to PCPs and 30% to all other providers</w:t>
            </w:r>
          </w:p>
        </w:tc>
        <w:tc>
          <w:tcPr>
            <w:tcW w:w="2259" w:type="dxa"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$5,559,260</w:t>
            </w:r>
          </w:p>
        </w:tc>
      </w:tr>
      <w:tr w:rsidR="00EE5CC7" w:rsidRPr="00EE5CC7" w:rsidTr="00CF51E6">
        <w:trPr>
          <w:trHeight w:val="584"/>
        </w:trPr>
        <w:tc>
          <w:tcPr>
            <w:tcW w:w="2124" w:type="dxa"/>
            <w:hideMark/>
          </w:tcPr>
          <w:p w:rsidR="00EE5CC7" w:rsidRPr="00EE5CC7" w:rsidRDefault="00EE5CC7" w:rsidP="00CF51E6">
            <w:pPr>
              <w:textAlignment w:val="bottom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auto"/>
                <w:kern w:val="24"/>
                <w:sz w:val="20"/>
                <w:szCs w:val="20"/>
              </w:rPr>
              <w:t>Basic OCV PMPM</w:t>
            </w:r>
          </w:p>
        </w:tc>
        <w:tc>
          <w:tcPr>
            <w:tcW w:w="2624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Broad based basic payment for OCV overall PHM/quality model</w:t>
            </w:r>
          </w:p>
        </w:tc>
        <w:tc>
          <w:tcPr>
            <w:tcW w:w="2587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Monthly payments per attributed patient to any program</w:t>
            </w:r>
          </w:p>
        </w:tc>
        <w:tc>
          <w:tcPr>
            <w:tcW w:w="3033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 xml:space="preserve">$3.25 PMPM 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NOTE: This is on top of any Blueprint payments</w:t>
            </w:r>
          </w:p>
        </w:tc>
        <w:tc>
          <w:tcPr>
            <w:tcW w:w="2061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Attributing providers for each patient attributed to any OCV program</w:t>
            </w:r>
          </w:p>
        </w:tc>
        <w:tc>
          <w:tcPr>
            <w:tcW w:w="2259" w:type="dxa"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$5,348,694</w:t>
            </w:r>
          </w:p>
        </w:tc>
      </w:tr>
      <w:tr w:rsidR="00EE5CC7" w:rsidRPr="00EE5CC7" w:rsidTr="00CF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124" w:type="dxa"/>
            <w:hideMark/>
          </w:tcPr>
          <w:p w:rsidR="00EE5CC7" w:rsidRPr="00EE5CC7" w:rsidRDefault="00EE5CC7" w:rsidP="00CF51E6">
            <w:pPr>
              <w:textAlignment w:val="bottom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auto"/>
                <w:kern w:val="24"/>
                <w:sz w:val="20"/>
                <w:szCs w:val="20"/>
              </w:rPr>
              <w:t>Complex Care Coordination Program</w:t>
            </w:r>
          </w:p>
        </w:tc>
        <w:tc>
          <w:tcPr>
            <w:tcW w:w="2624" w:type="dxa"/>
            <w:hideMark/>
          </w:tcPr>
          <w:p w:rsidR="00EE5CC7" w:rsidRPr="00EE5CC7" w:rsidRDefault="005317FA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317FA">
              <w:rPr>
                <w:rFonts w:cstheme="minorHAnsi"/>
                <w:b/>
                <w:bCs/>
                <w:noProof/>
                <w:color w:val="1D1B11" w:themeColor="background2" w:themeShade="1A"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00506" wp14:editId="328D778B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-3171190</wp:posOffset>
                      </wp:positionV>
                      <wp:extent cx="3639184" cy="4381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9184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7FA" w:rsidRPr="005317FA" w:rsidRDefault="005317FA" w:rsidP="005317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17FA">
                                    <w:rPr>
                                      <w:b/>
                                    </w:rPr>
                                    <w:t>Section 4</w:t>
                                  </w:r>
                                </w:p>
                                <w:p w:rsidR="005317FA" w:rsidRPr="005317FA" w:rsidRDefault="005317FA" w:rsidP="005317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17FA">
                                    <w:rPr>
                                      <w:b/>
                                    </w:rPr>
                                    <w:t>Attachment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3pt;margin-top:-249.7pt;width:286.55pt;height:3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" strokecolor="white [3212]">
                      <v:textbox>
                        <w:txbxContent>
                          <w:p w:rsidR="005317FA" w:rsidRPr="005317FA" w:rsidRDefault="005317FA" w:rsidP="005317F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317FA">
                              <w:rPr>
                                <w:b/>
                              </w:rPr>
                              <w:t>Section 4</w:t>
                            </w:r>
                          </w:p>
                          <w:p w:rsidR="005317FA" w:rsidRPr="005317FA" w:rsidRDefault="005317FA" w:rsidP="005317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7FA">
                              <w:rPr>
                                <w:b/>
                              </w:rPr>
                              <w:t>Attachment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CC7"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 xml:space="preserve">Focused program and supplemental payments for highest risk/complexity patients </w:t>
            </w:r>
          </w:p>
        </w:tc>
        <w:tc>
          <w:tcPr>
            <w:tcW w:w="2587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Monthly payments to  key care team members and lead care coordinator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Some community program organization support</w:t>
            </w:r>
          </w:p>
        </w:tc>
        <w:tc>
          <w:tcPr>
            <w:tcW w:w="3033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 xml:space="preserve">Attributing PCP always receives $15 PMPM 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DA, HH, AAA also receive $15 PMPM if involved in patient’s care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 xml:space="preserve">Additional $10 PMPM and $150 one time activation to whichever Care Team Member is selected by Patient* to be  Lead Care Coordinator 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$25K per year to each community for organizer</w:t>
            </w:r>
          </w:p>
        </w:tc>
        <w:tc>
          <w:tcPr>
            <w:tcW w:w="2061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Attributing PCP and DA, HH, AAA</w:t>
            </w:r>
          </w:p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Community program organizing entity</w:t>
            </w:r>
          </w:p>
        </w:tc>
        <w:tc>
          <w:tcPr>
            <w:tcW w:w="2259" w:type="dxa"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kern w:val="24"/>
                <w:sz w:val="20"/>
                <w:szCs w:val="20"/>
              </w:rPr>
              <w:t>$7,580,109</w:t>
            </w:r>
          </w:p>
        </w:tc>
      </w:tr>
      <w:tr w:rsidR="00EE5CC7" w:rsidRPr="00EE5CC7" w:rsidTr="00CF51E6">
        <w:trPr>
          <w:trHeight w:val="584"/>
        </w:trPr>
        <w:tc>
          <w:tcPr>
            <w:tcW w:w="2124" w:type="dxa"/>
            <w:hideMark/>
          </w:tcPr>
          <w:p w:rsidR="00EE5CC7" w:rsidRPr="00EE5CC7" w:rsidRDefault="00EE5CC7" w:rsidP="00CF51E6">
            <w:pPr>
              <w:textAlignment w:val="bottom"/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>
              <w:rPr>
                <w:color w:val="auto"/>
              </w:rPr>
              <w:br w:type="page"/>
            </w:r>
            <w:r w:rsidRPr="00EE5CC7"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  <w:t>PCP Comprehensive Payment Reform Pilot</w:t>
            </w:r>
          </w:p>
        </w:tc>
        <w:tc>
          <w:tcPr>
            <w:tcW w:w="2624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Multi-payer blended capitation model for primary care services</w:t>
            </w:r>
          </w:p>
        </w:tc>
        <w:tc>
          <w:tcPr>
            <w:tcW w:w="2587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Monthly PMPM prospective payments to cover primary care services delivered to attributed population by the practice</w:t>
            </w:r>
          </w:p>
        </w:tc>
        <w:tc>
          <w:tcPr>
            <w:tcW w:w="3033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Exact model to be developed in summer 2017</w:t>
            </w:r>
          </w:p>
        </w:tc>
        <w:tc>
          <w:tcPr>
            <w:tcW w:w="2061" w:type="dxa"/>
            <w:hideMark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For 2018, this is a voluntary program offered and piloted in Independent PCP practices with at least 500 attributed patients across programs</w:t>
            </w:r>
            <w:bookmarkStart w:id="0" w:name="_GoBack"/>
            <w:bookmarkEnd w:id="0"/>
          </w:p>
        </w:tc>
        <w:tc>
          <w:tcPr>
            <w:tcW w:w="2259" w:type="dxa"/>
          </w:tcPr>
          <w:p w:rsidR="00EE5CC7" w:rsidRPr="00EE5CC7" w:rsidRDefault="00EE5CC7" w:rsidP="00CF51E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$1,800,000</w:t>
            </w:r>
          </w:p>
        </w:tc>
      </w:tr>
    </w:tbl>
    <w:tbl>
      <w:tblPr>
        <w:tblStyle w:val="LightShading-Accent3"/>
        <w:tblW w:w="14688" w:type="dxa"/>
        <w:tblLook w:val="0420" w:firstRow="1" w:lastRow="0" w:firstColumn="0" w:lastColumn="0" w:noHBand="0" w:noVBand="1"/>
      </w:tblPr>
      <w:tblGrid>
        <w:gridCol w:w="2124"/>
        <w:gridCol w:w="2624"/>
        <w:gridCol w:w="2587"/>
        <w:gridCol w:w="3033"/>
        <w:gridCol w:w="2061"/>
        <w:gridCol w:w="2259"/>
      </w:tblGrid>
      <w:tr w:rsidR="00EE5CC7" w:rsidRPr="00EE5CC7" w:rsidTr="00EE5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124" w:type="dxa"/>
            <w:hideMark/>
          </w:tcPr>
          <w:p w:rsidR="00EE5CC7" w:rsidRPr="00EE5CC7" w:rsidRDefault="00EE5CC7" w:rsidP="00EE5CC7">
            <w:pPr>
              <w:textAlignment w:val="bottom"/>
              <w:rPr>
                <w:rFonts w:eastAsia="Times New Roman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proofErr w:type="spellStart"/>
            <w:r w:rsidRPr="00EE5CC7">
              <w:rPr>
                <w:rFonts w:eastAsia="Times New Roman" w:cstheme="minorHAnsi"/>
                <w:color w:val="1D1B11" w:themeColor="background2" w:themeShade="1A"/>
                <w:kern w:val="24"/>
                <w:sz w:val="20"/>
                <w:szCs w:val="20"/>
              </w:rPr>
              <w:lastRenderedPageBreak/>
              <w:t>RiseVT</w:t>
            </w:r>
            <w:proofErr w:type="spellEnd"/>
            <w:r w:rsidRPr="00EE5CC7">
              <w:rPr>
                <w:rFonts w:eastAsia="Times New Roman" w:cstheme="minorHAnsi"/>
                <w:color w:val="1D1B11" w:themeColor="background2" w:themeShade="1A"/>
                <w:kern w:val="24"/>
                <w:sz w:val="20"/>
                <w:szCs w:val="20"/>
              </w:rPr>
              <w:t xml:space="preserve"> Program</w:t>
            </w:r>
          </w:p>
        </w:tc>
        <w:tc>
          <w:tcPr>
            <w:tcW w:w="2624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>Community-Based Primary Prevention Program</w:t>
            </w:r>
          </w:p>
        </w:tc>
        <w:tc>
          <w:tcPr>
            <w:tcW w:w="2587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>Designed as coordinated, collective-impact model with branded template program and support but with significant community flexibility and leadership</w:t>
            </w:r>
          </w:p>
        </w:tc>
        <w:tc>
          <w:tcPr>
            <w:tcW w:w="3033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>Total of $1.2M for community implementation financial support and program development and support for OCV-</w:t>
            </w:r>
            <w:proofErr w:type="spellStart"/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>RiseVT</w:t>
            </w:r>
            <w:proofErr w:type="spellEnd"/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 xml:space="preserve">  partnership </w:t>
            </w:r>
          </w:p>
        </w:tc>
        <w:tc>
          <w:tcPr>
            <w:tcW w:w="2061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 xml:space="preserve">Communities committed to implementing </w:t>
            </w:r>
            <w:proofErr w:type="spellStart"/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>RiseVT</w:t>
            </w:r>
            <w:proofErr w:type="spellEnd"/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 xml:space="preserve"> program (leadership entity/entities determined by community)</w:t>
            </w:r>
          </w:p>
        </w:tc>
        <w:tc>
          <w:tcPr>
            <w:tcW w:w="2259" w:type="dxa"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b w:val="0"/>
                <w:color w:val="1D1B11" w:themeColor="background2" w:themeShade="1A"/>
                <w:kern w:val="24"/>
                <w:sz w:val="20"/>
                <w:szCs w:val="20"/>
              </w:rPr>
              <w:t>$1,200,000</w:t>
            </w:r>
          </w:p>
        </w:tc>
      </w:tr>
      <w:tr w:rsidR="00EE5CC7" w:rsidRPr="00EE5CC7" w:rsidTr="00EE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124" w:type="dxa"/>
            <w:hideMark/>
          </w:tcPr>
          <w:p w:rsidR="00EE5CC7" w:rsidRPr="00EE5CC7" w:rsidRDefault="00EE5CC7" w:rsidP="00EE5CC7">
            <w:pPr>
              <w:textAlignment w:val="bottom"/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  <w:t>CHT Funding Risk Communities</w:t>
            </w:r>
          </w:p>
        </w:tc>
        <w:tc>
          <w:tcPr>
            <w:tcW w:w="2624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CHT funding formerly provided under MAPCP by Medicare for OCV Risk Communities</w:t>
            </w:r>
          </w:p>
        </w:tc>
        <w:tc>
          <w:tcPr>
            <w:tcW w:w="2587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Either direct contract between OCV and risk-community CHT entity/entities &lt;or&gt; through contract with AHS to include in unified CHT contract from Blueprint</w:t>
            </w:r>
          </w:p>
        </w:tc>
        <w:tc>
          <w:tcPr>
            <w:tcW w:w="3033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Varies by community based on formula of Blueprint attributed claims volume</w:t>
            </w:r>
          </w:p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Will be budgeted at 2017 level for each community plus 3.5%</w:t>
            </w:r>
          </w:p>
        </w:tc>
        <w:tc>
          <w:tcPr>
            <w:tcW w:w="2061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CHT Administrative entities in OCV risk communities</w:t>
            </w:r>
          </w:p>
        </w:tc>
        <w:tc>
          <w:tcPr>
            <w:tcW w:w="2259" w:type="dxa"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$1,746,360</w:t>
            </w:r>
          </w:p>
        </w:tc>
      </w:tr>
      <w:tr w:rsidR="00EE5CC7" w:rsidRPr="00EE5CC7" w:rsidTr="00EE5CC7">
        <w:trPr>
          <w:trHeight w:val="584"/>
        </w:trPr>
        <w:tc>
          <w:tcPr>
            <w:tcW w:w="2124" w:type="dxa"/>
            <w:hideMark/>
          </w:tcPr>
          <w:p w:rsidR="00EE5CC7" w:rsidRPr="00EE5CC7" w:rsidRDefault="00EE5CC7" w:rsidP="00EE5CC7">
            <w:pPr>
              <w:textAlignment w:val="bottom"/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  <w:t>CHT Funding Non-Risk Communities</w:t>
            </w:r>
          </w:p>
        </w:tc>
        <w:tc>
          <w:tcPr>
            <w:tcW w:w="2624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CHT funding formerly provided under MAPCP by Medicare for non-OCV Communities</w:t>
            </w:r>
          </w:p>
        </w:tc>
        <w:tc>
          <w:tcPr>
            <w:tcW w:w="2587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Will be through contract with AHS to include/distribute in CHT contract from Blueprint</w:t>
            </w:r>
          </w:p>
        </w:tc>
        <w:tc>
          <w:tcPr>
            <w:tcW w:w="3033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Varies by community based on formula of Blueprint attributed claims volume</w:t>
            </w:r>
          </w:p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Will be budgeted at 2017 level for each community plus 3.5%</w:t>
            </w:r>
          </w:p>
        </w:tc>
        <w:tc>
          <w:tcPr>
            <w:tcW w:w="2061" w:type="dxa"/>
            <w:hideMark/>
          </w:tcPr>
          <w:p w:rsidR="00EE5CC7" w:rsidRPr="00EE5CC7" w:rsidRDefault="00EE5CC7" w:rsidP="001B0D6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 xml:space="preserve">CHT Administrative entities in </w:t>
            </w:r>
            <w:r w:rsidR="001B0D60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non-</w:t>
            </w: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risk communities</w:t>
            </w:r>
          </w:p>
        </w:tc>
        <w:tc>
          <w:tcPr>
            <w:tcW w:w="2259" w:type="dxa"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$772,538</w:t>
            </w:r>
          </w:p>
        </w:tc>
      </w:tr>
      <w:tr w:rsidR="00EE5CC7" w:rsidRPr="00EE5CC7" w:rsidTr="00EE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124" w:type="dxa"/>
            <w:hideMark/>
          </w:tcPr>
          <w:p w:rsidR="00EE5CC7" w:rsidRPr="00EE5CC7" w:rsidRDefault="00EE5CC7" w:rsidP="00EE5CC7">
            <w:pPr>
              <w:textAlignment w:val="bottom"/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  <w:t>SASH Funding Risk Communities</w:t>
            </w:r>
          </w:p>
        </w:tc>
        <w:tc>
          <w:tcPr>
            <w:tcW w:w="2624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SASH funding formerly provided under MAPCP by Medicare for OCV Risk Communities</w:t>
            </w:r>
          </w:p>
        </w:tc>
        <w:tc>
          <w:tcPr>
            <w:tcW w:w="2587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Provides senior housing onsite and some home-based care management and coordination for Medicare FFS beneficiaries</w:t>
            </w:r>
          </w:p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Likely through master contract with SASH from OCV or contract through AHS/Blueprint</w:t>
            </w:r>
          </w:p>
        </w:tc>
        <w:tc>
          <w:tcPr>
            <w:tcW w:w="3033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$72,450 per 100 person panel (2017 payment model of $70,000 per 100 person panel plus 3.5%)</w:t>
            </w:r>
          </w:p>
        </w:tc>
        <w:tc>
          <w:tcPr>
            <w:tcW w:w="2061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SASH Program entities in OCV risk communities</w:t>
            </w:r>
          </w:p>
        </w:tc>
        <w:tc>
          <w:tcPr>
            <w:tcW w:w="2259" w:type="dxa"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$2,417,942</w:t>
            </w:r>
          </w:p>
        </w:tc>
      </w:tr>
      <w:tr w:rsidR="00EE5CC7" w:rsidRPr="00EE5CC7" w:rsidTr="00EE5CC7">
        <w:trPr>
          <w:trHeight w:val="584"/>
        </w:trPr>
        <w:tc>
          <w:tcPr>
            <w:tcW w:w="2124" w:type="dxa"/>
            <w:hideMark/>
          </w:tcPr>
          <w:p w:rsidR="00EE5CC7" w:rsidRPr="00EE5CC7" w:rsidRDefault="00EE5CC7" w:rsidP="00EE5CC7">
            <w:pPr>
              <w:textAlignment w:val="bottom"/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  <w:t>SASH Funding Non-Risk Communities</w:t>
            </w:r>
          </w:p>
        </w:tc>
        <w:tc>
          <w:tcPr>
            <w:tcW w:w="2624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SASH funding formerly provided under MAPCP by Medicare for non-OCV Communities</w:t>
            </w:r>
          </w:p>
        </w:tc>
        <w:tc>
          <w:tcPr>
            <w:tcW w:w="2587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Provides senior housing onsite and some home-based care management and coordination for Medicare FFS beneficiaries</w:t>
            </w:r>
          </w:p>
        </w:tc>
        <w:tc>
          <w:tcPr>
            <w:tcW w:w="3033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$72,450 per 100 person panel (2017 payment model of $70,000 per 100 person panel plus 3.5%)</w:t>
            </w:r>
          </w:p>
        </w:tc>
        <w:tc>
          <w:tcPr>
            <w:tcW w:w="2061" w:type="dxa"/>
            <w:hideMark/>
          </w:tcPr>
          <w:p w:rsidR="00EE5CC7" w:rsidRPr="00EE5CC7" w:rsidRDefault="00EE5CC7" w:rsidP="001B0D6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 xml:space="preserve">SASH Program entities in </w:t>
            </w:r>
            <w:r w:rsidR="001B0D60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non-</w:t>
            </w: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risk communities</w:t>
            </w:r>
          </w:p>
        </w:tc>
        <w:tc>
          <w:tcPr>
            <w:tcW w:w="2259" w:type="dxa"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$852,012</w:t>
            </w:r>
          </w:p>
        </w:tc>
      </w:tr>
      <w:tr w:rsidR="00EE5CC7" w:rsidRPr="00EE5CC7" w:rsidTr="00EE5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124" w:type="dxa"/>
            <w:hideMark/>
          </w:tcPr>
          <w:p w:rsidR="00EE5CC7" w:rsidRPr="00EE5CC7" w:rsidRDefault="00EE5CC7" w:rsidP="00EE5CC7">
            <w:pPr>
              <w:textAlignment w:val="bottom"/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  <w:t>Blueprint Medicare PCP Payments Risk Communities</w:t>
            </w:r>
          </w:p>
        </w:tc>
        <w:tc>
          <w:tcPr>
            <w:tcW w:w="2624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CHT funding formerly provided under MAPCP by Medicare for non-OCV Communities</w:t>
            </w:r>
          </w:p>
        </w:tc>
        <w:tc>
          <w:tcPr>
            <w:tcW w:w="2587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PCP PMPM Payments for attributed Medicare FFS beneficiaries</w:t>
            </w:r>
          </w:p>
        </w:tc>
        <w:tc>
          <w:tcPr>
            <w:tcW w:w="3033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$2.59 (2017 payment of $2.50 PMPM plus 3.5%)</w:t>
            </w:r>
          </w:p>
        </w:tc>
        <w:tc>
          <w:tcPr>
            <w:tcW w:w="2061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NCQA Medical Homes in Blueprint for Health</w:t>
            </w:r>
          </w:p>
        </w:tc>
        <w:tc>
          <w:tcPr>
            <w:tcW w:w="2259" w:type="dxa"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$1,319,336</w:t>
            </w:r>
          </w:p>
        </w:tc>
      </w:tr>
      <w:tr w:rsidR="00EE5CC7" w:rsidRPr="00EE5CC7" w:rsidTr="001B0D60">
        <w:trPr>
          <w:trHeight w:val="1080"/>
        </w:trPr>
        <w:tc>
          <w:tcPr>
            <w:tcW w:w="2124" w:type="dxa"/>
            <w:hideMark/>
          </w:tcPr>
          <w:p w:rsidR="00EE5CC7" w:rsidRPr="00EE5CC7" w:rsidRDefault="00EE5CC7" w:rsidP="00EE5CC7">
            <w:pPr>
              <w:textAlignment w:val="bottom"/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eastAsia="Times New Roman" w:cstheme="minorHAnsi"/>
                <w:b/>
                <w:bCs/>
                <w:color w:val="1D1B11" w:themeColor="background2" w:themeShade="1A"/>
                <w:kern w:val="24"/>
                <w:sz w:val="20"/>
                <w:szCs w:val="20"/>
              </w:rPr>
              <w:lastRenderedPageBreak/>
              <w:t>Blueprint Medicare PCP Payments Non-Risk Communities</w:t>
            </w:r>
          </w:p>
        </w:tc>
        <w:tc>
          <w:tcPr>
            <w:tcW w:w="2624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CHT funding formerly provided under MAPCP by Medicare for non-OCV Communities</w:t>
            </w:r>
          </w:p>
        </w:tc>
        <w:tc>
          <w:tcPr>
            <w:tcW w:w="2587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PCP PMPM Payments for attributed Medicare FFS beneficiaries</w:t>
            </w:r>
          </w:p>
        </w:tc>
        <w:tc>
          <w:tcPr>
            <w:tcW w:w="3033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$2.59 (2017 payment of $2.50 PMPM plus 3.5%)</w:t>
            </w:r>
          </w:p>
        </w:tc>
        <w:tc>
          <w:tcPr>
            <w:tcW w:w="2061" w:type="dxa"/>
            <w:hideMark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 w:rsidRPr="00EE5CC7"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NCQA Medical Homes in Blueprint for Health</w:t>
            </w:r>
          </w:p>
        </w:tc>
        <w:tc>
          <w:tcPr>
            <w:tcW w:w="2259" w:type="dxa"/>
          </w:tcPr>
          <w:p w:rsidR="00EE5CC7" w:rsidRPr="00EE5CC7" w:rsidRDefault="00EE5CC7" w:rsidP="00EE5CC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D1B11" w:themeColor="background2" w:themeShade="1A"/>
                <w:kern w:val="24"/>
                <w:sz w:val="20"/>
                <w:szCs w:val="20"/>
              </w:rPr>
              <w:t>$654,313</w:t>
            </w:r>
          </w:p>
        </w:tc>
      </w:tr>
    </w:tbl>
    <w:p w:rsidR="002F2AE7" w:rsidRDefault="00CF51E6"/>
    <w:sectPr w:rsidR="002F2AE7" w:rsidSect="00EE5C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FA" w:rsidRDefault="005317FA" w:rsidP="005317FA">
      <w:pPr>
        <w:spacing w:after="0" w:line="240" w:lineRule="auto"/>
      </w:pPr>
      <w:r>
        <w:separator/>
      </w:r>
    </w:p>
  </w:endnote>
  <w:endnote w:type="continuationSeparator" w:id="0">
    <w:p w:rsidR="005317FA" w:rsidRDefault="005317FA" w:rsidP="0053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FA" w:rsidRDefault="005317FA" w:rsidP="005317FA">
      <w:pPr>
        <w:spacing w:after="0" w:line="240" w:lineRule="auto"/>
      </w:pPr>
      <w:r>
        <w:separator/>
      </w:r>
    </w:p>
  </w:footnote>
  <w:footnote w:type="continuationSeparator" w:id="0">
    <w:p w:rsidR="005317FA" w:rsidRDefault="005317FA" w:rsidP="0053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81B"/>
    <w:multiLevelType w:val="hybridMultilevel"/>
    <w:tmpl w:val="4650D43A"/>
    <w:lvl w:ilvl="0" w:tplc="484A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4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87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83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2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B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2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D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8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2383A"/>
    <w:multiLevelType w:val="hybridMultilevel"/>
    <w:tmpl w:val="6D78F7D2"/>
    <w:lvl w:ilvl="0" w:tplc="EE1AF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42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4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45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0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6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6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6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2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1340C3"/>
    <w:multiLevelType w:val="hybridMultilevel"/>
    <w:tmpl w:val="8480BC8A"/>
    <w:lvl w:ilvl="0" w:tplc="AD10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8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6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2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A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1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0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4B42BA"/>
    <w:multiLevelType w:val="hybridMultilevel"/>
    <w:tmpl w:val="40683B1E"/>
    <w:lvl w:ilvl="0" w:tplc="5D308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6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A9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C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88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85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6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1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3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5E05B4"/>
    <w:multiLevelType w:val="hybridMultilevel"/>
    <w:tmpl w:val="0CAEED6C"/>
    <w:lvl w:ilvl="0" w:tplc="F3F21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A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6E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E7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E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A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A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8B7373"/>
    <w:multiLevelType w:val="hybridMultilevel"/>
    <w:tmpl w:val="8B0013F8"/>
    <w:lvl w:ilvl="0" w:tplc="6590D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4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4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1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4B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4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E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C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7F5A6F"/>
    <w:multiLevelType w:val="hybridMultilevel"/>
    <w:tmpl w:val="3460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D5E4D"/>
    <w:multiLevelType w:val="hybridMultilevel"/>
    <w:tmpl w:val="DA349132"/>
    <w:lvl w:ilvl="0" w:tplc="BA4A4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28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E6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0E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8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E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4A4D45"/>
    <w:multiLevelType w:val="hybridMultilevel"/>
    <w:tmpl w:val="8576A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AB5677"/>
    <w:multiLevelType w:val="hybridMultilevel"/>
    <w:tmpl w:val="F08CC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F62F5"/>
    <w:multiLevelType w:val="hybridMultilevel"/>
    <w:tmpl w:val="315E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2239A"/>
    <w:multiLevelType w:val="hybridMultilevel"/>
    <w:tmpl w:val="7BC0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ED40C5"/>
    <w:multiLevelType w:val="hybridMultilevel"/>
    <w:tmpl w:val="2D7A312C"/>
    <w:lvl w:ilvl="0" w:tplc="E2545218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C65EA926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9EA24E08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FDAEABFE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AD924F0E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531E196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3F7A9E72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158017F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5486F3CA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13">
    <w:nsid w:val="59043E74"/>
    <w:multiLevelType w:val="hybridMultilevel"/>
    <w:tmpl w:val="65027FFA"/>
    <w:lvl w:ilvl="0" w:tplc="27BA6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C3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CE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0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6D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06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04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25390A"/>
    <w:multiLevelType w:val="hybridMultilevel"/>
    <w:tmpl w:val="FCBEC96E"/>
    <w:lvl w:ilvl="0" w:tplc="2F2AD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C5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0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0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C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C510A9"/>
    <w:multiLevelType w:val="hybridMultilevel"/>
    <w:tmpl w:val="B58E7AEA"/>
    <w:lvl w:ilvl="0" w:tplc="01BE5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2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47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8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5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E1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610A4B"/>
    <w:multiLevelType w:val="hybridMultilevel"/>
    <w:tmpl w:val="13085F0A"/>
    <w:lvl w:ilvl="0" w:tplc="890C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3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46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C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E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F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26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2D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7"/>
    <w:rsid w:val="001B0D60"/>
    <w:rsid w:val="005317FA"/>
    <w:rsid w:val="00736628"/>
    <w:rsid w:val="00CE6D8D"/>
    <w:rsid w:val="00CF51E6"/>
    <w:rsid w:val="00DF6C56"/>
    <w:rsid w:val="00E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EE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7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FA"/>
  </w:style>
  <w:style w:type="paragraph" w:styleId="Footer">
    <w:name w:val="footer"/>
    <w:basedOn w:val="Normal"/>
    <w:link w:val="FooterChar"/>
    <w:uiPriority w:val="99"/>
    <w:unhideWhenUsed/>
    <w:rsid w:val="0053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EE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7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FA"/>
  </w:style>
  <w:style w:type="paragraph" w:styleId="Footer">
    <w:name w:val="footer"/>
    <w:basedOn w:val="Normal"/>
    <w:link w:val="FooterChar"/>
    <w:uiPriority w:val="99"/>
    <w:unhideWhenUsed/>
    <w:rsid w:val="0053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Spenser Weppler</cp:lastModifiedBy>
  <cp:revision>4</cp:revision>
  <cp:lastPrinted>2017-06-16T15:44:00Z</cp:lastPrinted>
  <dcterms:created xsi:type="dcterms:W3CDTF">2017-06-16T14:37:00Z</dcterms:created>
  <dcterms:modified xsi:type="dcterms:W3CDTF">2017-06-22T20:34:00Z</dcterms:modified>
</cp:coreProperties>
</file>