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4BC4" w14:textId="77777777" w:rsidR="002107FA" w:rsidRDefault="002107FA" w:rsidP="000B410D">
      <w:pPr>
        <w:pStyle w:val="Title"/>
        <w:jc w:val="center"/>
      </w:pPr>
    </w:p>
    <w:p w14:paraId="18906EC1" w14:textId="2E6C786B" w:rsidR="00F92A54" w:rsidRPr="00EA47C4" w:rsidRDefault="00253B42" w:rsidP="00EA47C4">
      <w:pPr>
        <w:pStyle w:val="Title"/>
        <w:jc w:val="center"/>
      </w:pPr>
      <w:r w:rsidRPr="00EA47C4">
        <w:t xml:space="preserve">2019 </w:t>
      </w:r>
      <w:r w:rsidR="00530125" w:rsidRPr="00EA47C4">
        <w:t xml:space="preserve">Budget </w:t>
      </w:r>
      <w:r w:rsidR="00B7641B" w:rsidRPr="00EA47C4">
        <w:t>Guidance and</w:t>
      </w:r>
    </w:p>
    <w:p w14:paraId="77F59FB4" w14:textId="221CDD9D" w:rsidR="00F92A54" w:rsidRPr="00EA47C4" w:rsidRDefault="00B7641B" w:rsidP="00EA47C4">
      <w:pPr>
        <w:pStyle w:val="Title"/>
        <w:jc w:val="center"/>
      </w:pPr>
      <w:r w:rsidRPr="00EA47C4">
        <w:t>Reporting Requirements</w:t>
      </w:r>
      <w:r w:rsidR="00906D47" w:rsidRPr="00EA47C4">
        <w:t xml:space="preserve"> for Vermont Certified Accountable Care Organization: </w:t>
      </w:r>
      <w:r w:rsidR="00906D47" w:rsidRPr="00EA47C4">
        <w:rPr>
          <w:rStyle w:val="SubtitleChar"/>
        </w:rPr>
        <w:t>OneCare Vermont</w:t>
      </w:r>
      <w:r w:rsidR="00F90053" w:rsidRPr="00EA47C4">
        <w:rPr>
          <w:rStyle w:val="SubtitleChar"/>
        </w:rPr>
        <w:t>, ACO, LLC</w:t>
      </w:r>
    </w:p>
    <w:p w14:paraId="24FCA212" w14:textId="77777777" w:rsidR="00F92A54" w:rsidRPr="007B341E" w:rsidRDefault="00F92A54" w:rsidP="00F92A54">
      <w:pPr>
        <w:jc w:val="center"/>
        <w:rPr>
          <w:b/>
          <w:bCs/>
        </w:rPr>
      </w:pPr>
    </w:p>
    <w:p w14:paraId="0AE252C0" w14:textId="77777777" w:rsidR="00F92A54" w:rsidRPr="007B341E" w:rsidRDefault="00F92A54" w:rsidP="00F92A54">
      <w:pPr>
        <w:jc w:val="center"/>
        <w:rPr>
          <w:b/>
          <w:bCs/>
        </w:rPr>
      </w:pPr>
    </w:p>
    <w:p w14:paraId="278D4ACC" w14:textId="77777777" w:rsidR="002107FA" w:rsidRDefault="002107FA" w:rsidP="004A3BF7">
      <w:pPr>
        <w:pStyle w:val="Subtitle"/>
        <w:jc w:val="center"/>
        <w:rPr>
          <w:rFonts w:ascii="Times New Roman" w:hAnsi="Times New Roman" w:cs="Times New Roman"/>
          <w:sz w:val="32"/>
          <w:szCs w:val="32"/>
        </w:rPr>
      </w:pPr>
    </w:p>
    <w:p w14:paraId="727B2CAD" w14:textId="3A7C73A4" w:rsidR="00F92A54" w:rsidRPr="00690481" w:rsidRDefault="00FF162F" w:rsidP="004A3BF7">
      <w:pPr>
        <w:pStyle w:val="Subtitle"/>
        <w:jc w:val="center"/>
        <w:rPr>
          <w:rFonts w:ascii="Times New Roman" w:hAnsi="Times New Roman" w:cs="Times New Roman"/>
          <w:color w:val="auto"/>
          <w:sz w:val="32"/>
          <w:szCs w:val="32"/>
        </w:rPr>
      </w:pPr>
      <w:r w:rsidRPr="00690481">
        <w:rPr>
          <w:rFonts w:ascii="Times New Roman" w:hAnsi="Times New Roman" w:cs="Times New Roman"/>
          <w:color w:val="auto"/>
          <w:sz w:val="32"/>
          <w:szCs w:val="32"/>
        </w:rPr>
        <w:t xml:space="preserve">July </w:t>
      </w:r>
      <w:r w:rsidR="00690481" w:rsidRPr="00690481">
        <w:rPr>
          <w:rFonts w:ascii="Times New Roman" w:hAnsi="Times New Roman" w:cs="Times New Roman"/>
          <w:color w:val="auto"/>
          <w:sz w:val="32"/>
          <w:szCs w:val="32"/>
        </w:rPr>
        <w:t>24</w:t>
      </w:r>
      <w:r w:rsidR="00DB1350" w:rsidRPr="00690481">
        <w:rPr>
          <w:rFonts w:ascii="Times New Roman" w:hAnsi="Times New Roman" w:cs="Times New Roman"/>
          <w:color w:val="auto"/>
          <w:sz w:val="32"/>
          <w:szCs w:val="32"/>
        </w:rPr>
        <w:t xml:space="preserve">, </w:t>
      </w:r>
      <w:r w:rsidR="00F92A54" w:rsidRPr="00690481">
        <w:rPr>
          <w:rFonts w:ascii="Times New Roman" w:hAnsi="Times New Roman" w:cs="Times New Roman"/>
          <w:color w:val="auto"/>
          <w:sz w:val="32"/>
          <w:szCs w:val="32"/>
        </w:rPr>
        <w:t>2018</w:t>
      </w:r>
    </w:p>
    <w:p w14:paraId="7A6DEE5E" w14:textId="77777777" w:rsidR="00F92A54" w:rsidRPr="007B341E" w:rsidRDefault="00F92A54" w:rsidP="00F92A54">
      <w:pPr>
        <w:jc w:val="center"/>
        <w:rPr>
          <w:b/>
          <w:bCs/>
        </w:rPr>
      </w:pPr>
    </w:p>
    <w:p w14:paraId="665E805C" w14:textId="77777777" w:rsidR="00F92A54" w:rsidRPr="007B341E" w:rsidRDefault="00F92A54" w:rsidP="00F92A54">
      <w:pPr>
        <w:jc w:val="center"/>
        <w:rPr>
          <w:b/>
          <w:bCs/>
        </w:rPr>
      </w:pPr>
    </w:p>
    <w:p w14:paraId="526F3F22" w14:textId="77777777" w:rsidR="00F92A54" w:rsidRPr="007B341E" w:rsidRDefault="00F92A54" w:rsidP="00F92A54">
      <w:pPr>
        <w:jc w:val="center"/>
        <w:rPr>
          <w:b/>
          <w:bCs/>
        </w:rPr>
      </w:pPr>
    </w:p>
    <w:p w14:paraId="10D5E2E8" w14:textId="77777777" w:rsidR="00F92A54" w:rsidRPr="007B341E" w:rsidRDefault="00F92A54" w:rsidP="00F92A54">
      <w:pPr>
        <w:jc w:val="center"/>
        <w:rPr>
          <w:b/>
          <w:bCs/>
        </w:rPr>
      </w:pPr>
    </w:p>
    <w:p w14:paraId="786E92CE" w14:textId="77777777" w:rsidR="00F92A54" w:rsidRPr="007B341E" w:rsidRDefault="00F92A54" w:rsidP="00F92A54">
      <w:pPr>
        <w:jc w:val="center"/>
        <w:rPr>
          <w:b/>
          <w:bCs/>
        </w:rPr>
      </w:pPr>
    </w:p>
    <w:p w14:paraId="4502CF56" w14:textId="77777777" w:rsidR="00F92A54" w:rsidRPr="007B341E" w:rsidRDefault="00F92A54" w:rsidP="00F92A54">
      <w:pPr>
        <w:jc w:val="center"/>
        <w:rPr>
          <w:b/>
          <w:bCs/>
        </w:rPr>
      </w:pPr>
    </w:p>
    <w:p w14:paraId="17D902AB" w14:textId="77777777" w:rsidR="00F92A54" w:rsidRPr="007B341E" w:rsidRDefault="00F92A54" w:rsidP="00F92A54">
      <w:pPr>
        <w:jc w:val="center"/>
        <w:rPr>
          <w:b/>
          <w:bCs/>
        </w:rPr>
      </w:pPr>
    </w:p>
    <w:p w14:paraId="7B48073A" w14:textId="77777777" w:rsidR="00F92A54" w:rsidRPr="00D64C42" w:rsidRDefault="00F92A54" w:rsidP="002107FA">
      <w:pPr>
        <w:rPr>
          <w:b/>
          <w:bCs/>
          <w:sz w:val="26"/>
          <w:szCs w:val="26"/>
        </w:rPr>
      </w:pPr>
    </w:p>
    <w:p w14:paraId="154A2340" w14:textId="77777777" w:rsidR="00F92A54" w:rsidRPr="004A3BF7" w:rsidRDefault="00F92A54" w:rsidP="004A3BF7">
      <w:pPr>
        <w:pStyle w:val="Subtitle"/>
        <w:jc w:val="center"/>
        <w:rPr>
          <w:rStyle w:val="SubtleEmphasis"/>
          <w:rFonts w:ascii="Times New Roman" w:hAnsi="Times New Roman" w:cs="Times New Roman"/>
          <w:i w:val="0"/>
          <w:iCs w:val="0"/>
          <w:color w:val="5A5A5A" w:themeColor="text1" w:themeTint="A5"/>
        </w:rPr>
      </w:pPr>
      <w:r w:rsidRPr="004A3BF7">
        <w:rPr>
          <w:rStyle w:val="SubtleEmphasis"/>
          <w:rFonts w:ascii="Times New Roman" w:hAnsi="Times New Roman" w:cs="Times New Roman"/>
          <w:i w:val="0"/>
          <w:iCs w:val="0"/>
          <w:color w:val="5A5A5A" w:themeColor="text1" w:themeTint="A5"/>
        </w:rPr>
        <w:t>Prepared by:</w:t>
      </w:r>
    </w:p>
    <w:p w14:paraId="5837065F" w14:textId="77777777" w:rsidR="00F92A54" w:rsidRPr="004A3BF7" w:rsidRDefault="00F92A54" w:rsidP="004A3BF7">
      <w:pPr>
        <w:pStyle w:val="Subtitle"/>
        <w:jc w:val="center"/>
        <w:rPr>
          <w:rStyle w:val="SubtleEmphasis"/>
          <w:rFonts w:ascii="Times New Roman" w:hAnsi="Times New Roman" w:cs="Times New Roman"/>
          <w:i w:val="0"/>
          <w:iCs w:val="0"/>
          <w:color w:val="5A5A5A" w:themeColor="text1" w:themeTint="A5"/>
        </w:rPr>
      </w:pPr>
      <w:r w:rsidRPr="004A3BF7">
        <w:rPr>
          <w:rStyle w:val="SubtleEmphasis"/>
          <w:rFonts w:ascii="Times New Roman" w:hAnsi="Times New Roman" w:cs="Times New Roman"/>
          <w:i w:val="0"/>
          <w:iCs w:val="0"/>
          <w:color w:val="5A5A5A" w:themeColor="text1" w:themeTint="A5"/>
        </w:rPr>
        <w:t>GREEN MOUNTAIN CARE BOARD</w:t>
      </w:r>
    </w:p>
    <w:p w14:paraId="51FC4639" w14:textId="77777777" w:rsidR="00F92A54" w:rsidRPr="004A3BF7" w:rsidRDefault="00F92A54" w:rsidP="004A3BF7">
      <w:pPr>
        <w:pStyle w:val="Subtitle"/>
        <w:jc w:val="center"/>
        <w:rPr>
          <w:rStyle w:val="SubtleEmphasis"/>
          <w:rFonts w:ascii="Times New Roman" w:hAnsi="Times New Roman" w:cs="Times New Roman"/>
          <w:i w:val="0"/>
          <w:iCs w:val="0"/>
          <w:color w:val="5A5A5A" w:themeColor="text1" w:themeTint="A5"/>
        </w:rPr>
      </w:pPr>
      <w:r w:rsidRPr="004A3BF7">
        <w:rPr>
          <w:rStyle w:val="SubtleEmphasis"/>
          <w:rFonts w:ascii="Times New Roman" w:hAnsi="Times New Roman" w:cs="Times New Roman"/>
          <w:i w:val="0"/>
          <w:iCs w:val="0"/>
          <w:color w:val="5A5A5A" w:themeColor="text1" w:themeTint="A5"/>
        </w:rPr>
        <w:t>144 State Street</w:t>
      </w:r>
    </w:p>
    <w:p w14:paraId="561EDF22" w14:textId="77777777" w:rsidR="00F92A54" w:rsidRPr="004A3BF7" w:rsidRDefault="00F92A54" w:rsidP="004A3BF7">
      <w:pPr>
        <w:pStyle w:val="Subtitle"/>
        <w:jc w:val="center"/>
        <w:rPr>
          <w:rStyle w:val="SubtleEmphasis"/>
          <w:rFonts w:ascii="Times New Roman" w:hAnsi="Times New Roman" w:cs="Times New Roman"/>
          <w:i w:val="0"/>
          <w:iCs w:val="0"/>
          <w:color w:val="5A5A5A" w:themeColor="text1" w:themeTint="A5"/>
        </w:rPr>
      </w:pPr>
      <w:r w:rsidRPr="004A3BF7">
        <w:rPr>
          <w:rStyle w:val="SubtleEmphasis"/>
          <w:rFonts w:ascii="Times New Roman" w:hAnsi="Times New Roman" w:cs="Times New Roman"/>
          <w:i w:val="0"/>
          <w:iCs w:val="0"/>
          <w:color w:val="5A5A5A" w:themeColor="text1" w:themeTint="A5"/>
        </w:rPr>
        <w:t>Montpelier, Vermont 05602</w:t>
      </w:r>
    </w:p>
    <w:p w14:paraId="796300CD" w14:textId="77777777" w:rsidR="00672A8B" w:rsidRDefault="00672A8B">
      <w:pPr>
        <w:rPr>
          <w:rFonts w:ascii="Times New Roman" w:hAnsi="Times New Roman"/>
          <w:sz w:val="24"/>
          <w:szCs w:val="24"/>
        </w:rPr>
      </w:pPr>
      <w:r>
        <w:rPr>
          <w:rFonts w:ascii="Times New Roman" w:hAnsi="Times New Roman"/>
          <w:sz w:val="24"/>
          <w:szCs w:val="24"/>
        </w:rPr>
        <w:br w:type="page"/>
      </w:r>
    </w:p>
    <w:p w14:paraId="6622B66D" w14:textId="77777777" w:rsidR="00F92A54" w:rsidRPr="00895595" w:rsidRDefault="00F92A54" w:rsidP="000B410D">
      <w:pPr>
        <w:pStyle w:val="Heading1"/>
      </w:pPr>
      <w:r w:rsidRPr="00895595">
        <w:lastRenderedPageBreak/>
        <w:t>BACKGROUND</w:t>
      </w:r>
    </w:p>
    <w:p w14:paraId="6D90ACA0" w14:textId="6D1F5DAA" w:rsidR="00746CA3" w:rsidRDefault="00E6013B" w:rsidP="00A65CCB">
      <w:pPr>
        <w:rPr>
          <w:rFonts w:ascii="Times New Roman" w:hAnsi="Times New Roman"/>
          <w:sz w:val="24"/>
          <w:szCs w:val="24"/>
        </w:rPr>
      </w:pPr>
      <w:r w:rsidRPr="001F1369">
        <w:rPr>
          <w:rFonts w:ascii="Times New Roman" w:hAnsi="Times New Roman"/>
          <w:sz w:val="24"/>
          <w:szCs w:val="24"/>
        </w:rPr>
        <w:t xml:space="preserve">Please see below </w:t>
      </w:r>
      <w:r w:rsidR="00DC20C1" w:rsidRPr="001F1369">
        <w:rPr>
          <w:rFonts w:ascii="Times New Roman" w:hAnsi="Times New Roman"/>
          <w:sz w:val="24"/>
          <w:szCs w:val="24"/>
        </w:rPr>
        <w:t>t</w:t>
      </w:r>
      <w:r w:rsidRPr="001F1369">
        <w:rPr>
          <w:rFonts w:ascii="Times New Roman" w:hAnsi="Times New Roman"/>
          <w:sz w:val="24"/>
          <w:szCs w:val="24"/>
        </w:rPr>
        <w:t>he</w:t>
      </w:r>
      <w:r w:rsidR="00B3508C" w:rsidRPr="001F1369">
        <w:rPr>
          <w:rFonts w:ascii="Times New Roman" w:hAnsi="Times New Roman"/>
          <w:sz w:val="24"/>
          <w:szCs w:val="24"/>
        </w:rPr>
        <w:t xml:space="preserve"> Accountable Care Organization</w:t>
      </w:r>
      <w:r w:rsidR="00240B1E">
        <w:rPr>
          <w:rFonts w:ascii="Times New Roman" w:hAnsi="Times New Roman"/>
          <w:sz w:val="24"/>
          <w:szCs w:val="24"/>
        </w:rPr>
        <w:t xml:space="preserve"> </w:t>
      </w:r>
      <w:r w:rsidR="00B3508C" w:rsidRPr="001F1369">
        <w:rPr>
          <w:rFonts w:ascii="Times New Roman" w:hAnsi="Times New Roman"/>
          <w:sz w:val="24"/>
          <w:szCs w:val="24"/>
        </w:rPr>
        <w:t>Budget Guidance</w:t>
      </w:r>
      <w:r w:rsidR="00084438" w:rsidRPr="001F1369">
        <w:rPr>
          <w:rFonts w:ascii="Times New Roman" w:hAnsi="Times New Roman"/>
          <w:sz w:val="24"/>
          <w:szCs w:val="24"/>
        </w:rPr>
        <w:t xml:space="preserve"> and Reporting Requirements </w:t>
      </w:r>
      <w:r w:rsidR="007A741D" w:rsidRPr="001F1369">
        <w:rPr>
          <w:rFonts w:ascii="Times New Roman" w:hAnsi="Times New Roman"/>
          <w:sz w:val="24"/>
          <w:szCs w:val="24"/>
        </w:rPr>
        <w:t xml:space="preserve">adopted by the Green Mountain Care Board (GMCB) </w:t>
      </w:r>
      <w:r w:rsidR="00084438" w:rsidRPr="001F1369">
        <w:rPr>
          <w:rFonts w:ascii="Times New Roman" w:hAnsi="Times New Roman"/>
          <w:sz w:val="24"/>
          <w:szCs w:val="24"/>
        </w:rPr>
        <w:t>for Budget Year 2019</w:t>
      </w:r>
      <w:r w:rsidR="0035183A" w:rsidRPr="001F1369">
        <w:rPr>
          <w:rFonts w:ascii="Times New Roman" w:hAnsi="Times New Roman"/>
          <w:sz w:val="24"/>
          <w:szCs w:val="24"/>
        </w:rPr>
        <w:t>.</w:t>
      </w:r>
      <w:r w:rsidR="00010BAD">
        <w:rPr>
          <w:rFonts w:ascii="Times New Roman" w:hAnsi="Times New Roman"/>
          <w:sz w:val="24"/>
          <w:szCs w:val="24"/>
        </w:rPr>
        <w:t xml:space="preserve"> </w:t>
      </w:r>
      <w:r w:rsidR="0035183A" w:rsidRPr="001F1369">
        <w:rPr>
          <w:rFonts w:ascii="Times New Roman" w:hAnsi="Times New Roman"/>
          <w:sz w:val="24"/>
          <w:szCs w:val="24"/>
        </w:rPr>
        <w:t>This document is to be used by</w:t>
      </w:r>
      <w:r w:rsidR="00672A8B" w:rsidRPr="001F1369">
        <w:rPr>
          <w:rFonts w:ascii="Times New Roman" w:hAnsi="Times New Roman"/>
          <w:sz w:val="24"/>
          <w:szCs w:val="24"/>
        </w:rPr>
        <w:t xml:space="preserve"> </w:t>
      </w:r>
      <w:r w:rsidR="00626343">
        <w:rPr>
          <w:rFonts w:ascii="Times New Roman" w:hAnsi="Times New Roman"/>
          <w:sz w:val="24"/>
          <w:szCs w:val="24"/>
        </w:rPr>
        <w:t xml:space="preserve">the certified Vermont Accountable Care Organization: </w:t>
      </w:r>
      <w:r w:rsidR="00626343" w:rsidRPr="00626343">
        <w:rPr>
          <w:rFonts w:ascii="Times New Roman" w:hAnsi="Times New Roman"/>
          <w:b/>
          <w:sz w:val="24"/>
          <w:szCs w:val="24"/>
        </w:rPr>
        <w:t>OneCare Vermont ACO, LLC</w:t>
      </w:r>
      <w:r w:rsidR="00672A8B" w:rsidRPr="001F1369">
        <w:rPr>
          <w:rFonts w:ascii="Times New Roman" w:hAnsi="Times New Roman"/>
          <w:sz w:val="24"/>
          <w:szCs w:val="24"/>
        </w:rPr>
        <w:t xml:space="preserve">. </w:t>
      </w:r>
      <w:r w:rsidR="00746CA3">
        <w:rPr>
          <w:rFonts w:ascii="Times New Roman" w:hAnsi="Times New Roman"/>
          <w:sz w:val="24"/>
          <w:szCs w:val="24"/>
        </w:rPr>
        <w:t xml:space="preserve">A certified ACO must maintain its certification </w:t>
      </w:r>
      <w:proofErr w:type="gramStart"/>
      <w:r w:rsidR="00746CA3">
        <w:rPr>
          <w:rFonts w:ascii="Times New Roman" w:hAnsi="Times New Roman"/>
          <w:sz w:val="24"/>
          <w:szCs w:val="24"/>
        </w:rPr>
        <w:t xml:space="preserve">in order </w:t>
      </w:r>
      <w:r w:rsidR="006303D0" w:rsidRPr="001F1369">
        <w:rPr>
          <w:rFonts w:ascii="Times New Roman" w:hAnsi="Times New Roman"/>
          <w:sz w:val="24"/>
          <w:szCs w:val="24"/>
        </w:rPr>
        <w:t>to</w:t>
      </w:r>
      <w:proofErr w:type="gramEnd"/>
      <w:r w:rsidR="00A64EBB" w:rsidRPr="001F1369">
        <w:rPr>
          <w:rFonts w:ascii="Times New Roman" w:hAnsi="Times New Roman"/>
          <w:sz w:val="24"/>
          <w:szCs w:val="24"/>
        </w:rPr>
        <w:t xml:space="preserve"> receive payments from</w:t>
      </w:r>
      <w:r w:rsidR="006303D0" w:rsidRPr="001F1369">
        <w:rPr>
          <w:rFonts w:ascii="Times New Roman" w:hAnsi="Times New Roman"/>
          <w:sz w:val="24"/>
          <w:szCs w:val="24"/>
        </w:rPr>
        <w:t xml:space="preserve"> Vermont Medicaid or a commercial insurer.</w:t>
      </w:r>
      <w:r w:rsidR="00746CA3">
        <w:rPr>
          <w:rFonts w:ascii="Times New Roman" w:hAnsi="Times New Roman"/>
          <w:sz w:val="24"/>
          <w:szCs w:val="24"/>
        </w:rPr>
        <w:t xml:space="preserve"> The GMCB will review a certified ACO’s continued eligibility for certification concurrently with its proposed budget. </w:t>
      </w:r>
      <w:r w:rsidR="006303D0" w:rsidRPr="001F1369">
        <w:rPr>
          <w:rFonts w:ascii="Times New Roman" w:hAnsi="Times New Roman"/>
          <w:sz w:val="24"/>
          <w:szCs w:val="24"/>
        </w:rPr>
        <w:t xml:space="preserve"> </w:t>
      </w:r>
      <w:bookmarkStart w:id="0" w:name="_Hlk515881722"/>
    </w:p>
    <w:p w14:paraId="5CBD5A79" w14:textId="669497CE" w:rsidR="006303D0" w:rsidRPr="001F1369" w:rsidRDefault="001F1369" w:rsidP="00A65CCB">
      <w:pPr>
        <w:rPr>
          <w:rFonts w:ascii="Times New Roman" w:hAnsi="Times New Roman"/>
          <w:sz w:val="24"/>
          <w:szCs w:val="24"/>
        </w:rPr>
      </w:pPr>
      <w:r w:rsidRPr="001F1369">
        <w:rPr>
          <w:rFonts w:ascii="Times New Roman" w:hAnsi="Times New Roman"/>
          <w:sz w:val="24"/>
          <w:szCs w:val="24"/>
        </w:rPr>
        <w:t>In accordance with 18 V.S.A. § 9382(b)(3)(A) and GMCB Rule 5.000, §§ 5.105, 5.404(b), the Office of the Health Care Advocate (HCA), which represents the interests of Vermont health care consumers, must receive ACO budget filings and other materials and will participate in the budget review process, including hearings.</w:t>
      </w:r>
      <w:bookmarkEnd w:id="0"/>
    </w:p>
    <w:p w14:paraId="6744BCDB" w14:textId="77777777" w:rsidR="00AB2ECF" w:rsidRPr="00AB2ECF" w:rsidRDefault="00F92A54" w:rsidP="000B410D">
      <w:pPr>
        <w:pStyle w:val="Heading2"/>
      </w:pPr>
      <w:r w:rsidRPr="00895595">
        <w:t>2018</w:t>
      </w:r>
      <w:bookmarkStart w:id="1" w:name="_Hlk488663724"/>
      <w:r>
        <w:t xml:space="preserve"> TIMELINE</w:t>
      </w:r>
      <w:r w:rsidR="00423336">
        <w:t xml:space="preserve"> FOR 2019 BUDGET SUBMISSION</w:t>
      </w:r>
      <w:r w:rsidR="00672A8B">
        <w:t xml:space="preserve"> (subject to change)</w:t>
      </w:r>
    </w:p>
    <w:p w14:paraId="530E02C9" w14:textId="4FEFFFCD" w:rsidR="00AB2ECF" w:rsidRDefault="00AE2A16" w:rsidP="00AB2ECF">
      <w:pPr>
        <w:rPr>
          <w:rFonts w:ascii="Times New Roman" w:hAnsi="Times New Roman"/>
          <w:sz w:val="24"/>
          <w:szCs w:val="24"/>
        </w:rPr>
      </w:pPr>
      <w:bookmarkStart w:id="2" w:name="_Hlk515882454"/>
      <w:r>
        <w:rPr>
          <w:rFonts w:ascii="Times New Roman" w:hAnsi="Times New Roman"/>
          <w:sz w:val="24"/>
          <w:szCs w:val="24"/>
        </w:rPr>
        <w:t xml:space="preserve">By </w:t>
      </w:r>
      <w:r w:rsidR="00DA4FE4">
        <w:rPr>
          <w:rFonts w:ascii="Times New Roman" w:hAnsi="Times New Roman"/>
          <w:sz w:val="24"/>
          <w:szCs w:val="24"/>
        </w:rPr>
        <w:t>August 1</w:t>
      </w:r>
      <w:r w:rsidR="00DF0DBA">
        <w:rPr>
          <w:rFonts w:ascii="Times New Roman" w:hAnsi="Times New Roman"/>
          <w:sz w:val="24"/>
          <w:szCs w:val="24"/>
        </w:rPr>
        <w:t>:</w:t>
      </w:r>
      <w:r w:rsidR="00672A8B">
        <w:rPr>
          <w:rFonts w:ascii="Times New Roman" w:hAnsi="Times New Roman"/>
          <w:sz w:val="24"/>
          <w:szCs w:val="24"/>
        </w:rPr>
        <w:t xml:space="preserve"> </w:t>
      </w:r>
      <w:r w:rsidR="00DF0DBA">
        <w:rPr>
          <w:rFonts w:ascii="Times New Roman" w:hAnsi="Times New Roman"/>
          <w:sz w:val="24"/>
          <w:szCs w:val="24"/>
        </w:rPr>
        <w:tab/>
      </w:r>
      <w:r>
        <w:rPr>
          <w:rFonts w:ascii="Times New Roman" w:hAnsi="Times New Roman"/>
          <w:sz w:val="24"/>
          <w:szCs w:val="24"/>
        </w:rPr>
        <w:tab/>
      </w:r>
      <w:r w:rsidR="0054426D">
        <w:rPr>
          <w:rFonts w:ascii="Times New Roman" w:hAnsi="Times New Roman"/>
          <w:sz w:val="24"/>
          <w:szCs w:val="24"/>
        </w:rPr>
        <w:t>GMCB provides ACOs with reporting guidance</w:t>
      </w:r>
    </w:p>
    <w:p w14:paraId="47533EDD" w14:textId="2E7B810D" w:rsidR="00052660" w:rsidRDefault="00D06235" w:rsidP="00AB2ECF">
      <w:pPr>
        <w:rPr>
          <w:rFonts w:ascii="Times New Roman" w:hAnsi="Times New Roman"/>
          <w:sz w:val="24"/>
          <w:szCs w:val="24"/>
        </w:rPr>
      </w:pPr>
      <w:r>
        <w:rPr>
          <w:rFonts w:ascii="Times New Roman" w:hAnsi="Times New Roman"/>
          <w:sz w:val="24"/>
          <w:szCs w:val="24"/>
        </w:rPr>
        <w:t xml:space="preserve">October </w:t>
      </w:r>
      <w:r w:rsidR="00644426">
        <w:rPr>
          <w:rFonts w:ascii="Times New Roman" w:hAnsi="Times New Roman"/>
          <w:sz w:val="24"/>
          <w:szCs w:val="24"/>
        </w:rPr>
        <w:t>1</w:t>
      </w:r>
      <w:r w:rsidR="00DF0DBA">
        <w:rPr>
          <w:rFonts w:ascii="Times New Roman" w:hAnsi="Times New Roman"/>
          <w:sz w:val="24"/>
          <w:szCs w:val="24"/>
        </w:rPr>
        <w:t>:</w:t>
      </w:r>
      <w:r w:rsidR="00644426">
        <w:rPr>
          <w:rFonts w:ascii="Times New Roman" w:hAnsi="Times New Roman"/>
          <w:sz w:val="24"/>
          <w:szCs w:val="24"/>
        </w:rPr>
        <w:tab/>
      </w:r>
      <w:r w:rsidR="00DF0DBA">
        <w:rPr>
          <w:rFonts w:ascii="Times New Roman" w:hAnsi="Times New Roman"/>
          <w:sz w:val="24"/>
          <w:szCs w:val="24"/>
        </w:rPr>
        <w:tab/>
      </w:r>
      <w:r w:rsidR="0054426D">
        <w:rPr>
          <w:rFonts w:ascii="Times New Roman" w:hAnsi="Times New Roman"/>
          <w:sz w:val="24"/>
          <w:szCs w:val="24"/>
        </w:rPr>
        <w:t>ACOs submit budgets to GMCB</w:t>
      </w:r>
    </w:p>
    <w:p w14:paraId="051C5F6B" w14:textId="76507089" w:rsidR="00AB2ECF" w:rsidRDefault="00E76C0A" w:rsidP="00AB2ECF">
      <w:pPr>
        <w:rPr>
          <w:rFonts w:ascii="Times New Roman" w:hAnsi="Times New Roman"/>
          <w:sz w:val="24"/>
          <w:szCs w:val="24"/>
        </w:rPr>
      </w:pPr>
      <w:r>
        <w:rPr>
          <w:rFonts w:ascii="Times New Roman" w:hAnsi="Times New Roman"/>
          <w:sz w:val="24"/>
          <w:szCs w:val="24"/>
        </w:rPr>
        <w:t>October 17</w:t>
      </w:r>
      <w:r w:rsidR="00DF0DBA">
        <w:rPr>
          <w:rFonts w:ascii="Times New Roman" w:hAnsi="Times New Roman"/>
          <w:sz w:val="24"/>
          <w:szCs w:val="24"/>
        </w:rPr>
        <w:t>:</w:t>
      </w:r>
      <w:r w:rsidR="001E55B0">
        <w:rPr>
          <w:rFonts w:ascii="Times New Roman" w:hAnsi="Times New Roman"/>
          <w:sz w:val="24"/>
          <w:szCs w:val="24"/>
        </w:rPr>
        <w:t xml:space="preserve"> </w:t>
      </w:r>
      <w:r w:rsidR="00DF0DBA">
        <w:rPr>
          <w:rFonts w:ascii="Times New Roman" w:hAnsi="Times New Roman"/>
          <w:sz w:val="24"/>
          <w:szCs w:val="24"/>
        </w:rPr>
        <w:tab/>
      </w:r>
      <w:r w:rsidR="00DF0DBA">
        <w:rPr>
          <w:rFonts w:ascii="Times New Roman" w:hAnsi="Times New Roman"/>
          <w:sz w:val="24"/>
          <w:szCs w:val="24"/>
        </w:rPr>
        <w:tab/>
      </w:r>
      <w:r w:rsidR="0054426D">
        <w:rPr>
          <w:rFonts w:ascii="Times New Roman" w:hAnsi="Times New Roman"/>
          <w:sz w:val="24"/>
          <w:szCs w:val="24"/>
        </w:rPr>
        <w:t>ACO budget presentation to Board</w:t>
      </w:r>
      <w:r w:rsidR="001E55B0">
        <w:rPr>
          <w:rFonts w:ascii="Times New Roman" w:hAnsi="Times New Roman"/>
          <w:sz w:val="24"/>
          <w:szCs w:val="24"/>
        </w:rPr>
        <w:t xml:space="preserve"> </w:t>
      </w:r>
    </w:p>
    <w:p w14:paraId="2C85330F" w14:textId="7C6E7268" w:rsidR="0058210C" w:rsidRDefault="001E55B0" w:rsidP="00AB2ECF">
      <w:pPr>
        <w:rPr>
          <w:rFonts w:ascii="Times New Roman" w:hAnsi="Times New Roman"/>
          <w:sz w:val="24"/>
          <w:szCs w:val="24"/>
        </w:rPr>
      </w:pPr>
      <w:r>
        <w:rPr>
          <w:rFonts w:ascii="Times New Roman" w:hAnsi="Times New Roman"/>
          <w:sz w:val="24"/>
          <w:szCs w:val="24"/>
        </w:rPr>
        <w:t xml:space="preserve">November </w:t>
      </w:r>
      <w:r w:rsidR="00E76C0A">
        <w:rPr>
          <w:rFonts w:ascii="Times New Roman" w:hAnsi="Times New Roman"/>
          <w:sz w:val="24"/>
          <w:szCs w:val="24"/>
        </w:rPr>
        <w:t>7</w:t>
      </w:r>
      <w:r w:rsidR="00DF0DBA">
        <w:rPr>
          <w:rFonts w:ascii="Times New Roman" w:hAnsi="Times New Roman"/>
          <w:sz w:val="24"/>
          <w:szCs w:val="24"/>
        </w:rPr>
        <w:t>:</w:t>
      </w:r>
      <w:r w:rsidR="00DF0DBA">
        <w:rPr>
          <w:rFonts w:ascii="Times New Roman" w:hAnsi="Times New Roman"/>
          <w:sz w:val="24"/>
          <w:szCs w:val="24"/>
        </w:rPr>
        <w:tab/>
      </w:r>
      <w:r w:rsidR="0058210C">
        <w:rPr>
          <w:rFonts w:ascii="Times New Roman" w:hAnsi="Times New Roman"/>
          <w:sz w:val="24"/>
          <w:szCs w:val="24"/>
        </w:rPr>
        <w:tab/>
        <w:t xml:space="preserve">GMCB </w:t>
      </w:r>
      <w:r w:rsidR="000C5F6D">
        <w:rPr>
          <w:rFonts w:ascii="Times New Roman" w:hAnsi="Times New Roman"/>
          <w:sz w:val="24"/>
          <w:szCs w:val="24"/>
        </w:rPr>
        <w:t xml:space="preserve">staff </w:t>
      </w:r>
      <w:r>
        <w:rPr>
          <w:rFonts w:ascii="Times New Roman" w:hAnsi="Times New Roman"/>
          <w:sz w:val="24"/>
          <w:szCs w:val="24"/>
        </w:rPr>
        <w:t>presents analysis to the Board</w:t>
      </w:r>
    </w:p>
    <w:p w14:paraId="0D04A037" w14:textId="235227C2" w:rsidR="00644426" w:rsidRDefault="00644426" w:rsidP="00644426">
      <w:pPr>
        <w:rPr>
          <w:rFonts w:ascii="Times New Roman" w:hAnsi="Times New Roman"/>
          <w:sz w:val="24"/>
          <w:szCs w:val="24"/>
        </w:rPr>
      </w:pPr>
      <w:r>
        <w:rPr>
          <w:rFonts w:ascii="Times New Roman" w:hAnsi="Times New Roman"/>
          <w:sz w:val="24"/>
          <w:szCs w:val="24"/>
        </w:rPr>
        <w:t>November</w:t>
      </w:r>
      <w:r w:rsidR="00E76C0A">
        <w:rPr>
          <w:rFonts w:ascii="Times New Roman" w:hAnsi="Times New Roman"/>
          <w:sz w:val="24"/>
          <w:szCs w:val="24"/>
        </w:rPr>
        <w:t xml:space="preserve"> 7-21</w:t>
      </w:r>
      <w:r w:rsidR="00DF0DBA">
        <w:rPr>
          <w:rFonts w:ascii="Times New Roman" w:hAnsi="Times New Roman"/>
          <w:sz w:val="24"/>
          <w:szCs w:val="24"/>
        </w:rPr>
        <w:t>:</w:t>
      </w:r>
      <w:r>
        <w:rPr>
          <w:rFonts w:ascii="Times New Roman" w:hAnsi="Times New Roman"/>
          <w:sz w:val="24"/>
          <w:szCs w:val="24"/>
        </w:rPr>
        <w:t xml:space="preserve"> </w:t>
      </w:r>
      <w:r w:rsidR="00DF0DBA">
        <w:rPr>
          <w:rFonts w:ascii="Times New Roman" w:hAnsi="Times New Roman"/>
          <w:sz w:val="24"/>
          <w:szCs w:val="24"/>
        </w:rPr>
        <w:tab/>
      </w:r>
      <w:r>
        <w:rPr>
          <w:rFonts w:ascii="Times New Roman" w:hAnsi="Times New Roman"/>
          <w:sz w:val="24"/>
          <w:szCs w:val="24"/>
        </w:rPr>
        <w:t>Public Comment</w:t>
      </w:r>
    </w:p>
    <w:p w14:paraId="058328B0" w14:textId="5D42847B" w:rsidR="0054426D" w:rsidRDefault="00E76C0A" w:rsidP="00AB2ECF">
      <w:pPr>
        <w:rPr>
          <w:rFonts w:ascii="Times New Roman" w:hAnsi="Times New Roman"/>
          <w:sz w:val="24"/>
          <w:szCs w:val="24"/>
        </w:rPr>
      </w:pPr>
      <w:r>
        <w:rPr>
          <w:rFonts w:ascii="Times New Roman" w:hAnsi="Times New Roman"/>
          <w:sz w:val="24"/>
          <w:szCs w:val="24"/>
        </w:rPr>
        <w:t>November 28</w:t>
      </w:r>
      <w:r w:rsidR="00DF0DBA">
        <w:rPr>
          <w:rFonts w:ascii="Times New Roman" w:hAnsi="Times New Roman"/>
          <w:sz w:val="24"/>
          <w:szCs w:val="24"/>
        </w:rPr>
        <w:t>:</w:t>
      </w:r>
      <w:r w:rsidR="00692908">
        <w:rPr>
          <w:rFonts w:ascii="Times New Roman" w:hAnsi="Times New Roman"/>
          <w:sz w:val="24"/>
          <w:szCs w:val="24"/>
        </w:rPr>
        <w:tab/>
      </w:r>
      <w:r w:rsidR="00DF0DBA">
        <w:rPr>
          <w:rFonts w:ascii="Times New Roman" w:hAnsi="Times New Roman"/>
          <w:sz w:val="24"/>
          <w:szCs w:val="24"/>
        </w:rPr>
        <w:tab/>
      </w:r>
      <w:bookmarkStart w:id="3" w:name="_Hlk515862813"/>
      <w:r w:rsidR="00692908">
        <w:rPr>
          <w:rFonts w:ascii="Times New Roman" w:hAnsi="Times New Roman"/>
          <w:sz w:val="24"/>
          <w:szCs w:val="24"/>
        </w:rPr>
        <w:t xml:space="preserve">GMCB votes to establish the </w:t>
      </w:r>
      <w:r w:rsidR="00AE10D2">
        <w:rPr>
          <w:rFonts w:ascii="Times New Roman" w:hAnsi="Times New Roman"/>
          <w:sz w:val="24"/>
          <w:szCs w:val="24"/>
        </w:rPr>
        <w:t>ACOs</w:t>
      </w:r>
      <w:r w:rsidR="007C2415">
        <w:rPr>
          <w:rFonts w:ascii="Times New Roman" w:hAnsi="Times New Roman"/>
          <w:sz w:val="24"/>
          <w:szCs w:val="24"/>
        </w:rPr>
        <w:t>’</w:t>
      </w:r>
      <w:r w:rsidR="00AE10D2">
        <w:rPr>
          <w:rFonts w:ascii="Times New Roman" w:hAnsi="Times New Roman"/>
          <w:sz w:val="24"/>
          <w:szCs w:val="24"/>
        </w:rPr>
        <w:t xml:space="preserve"> budget</w:t>
      </w:r>
      <w:r w:rsidR="007C2415">
        <w:rPr>
          <w:rFonts w:ascii="Times New Roman" w:hAnsi="Times New Roman"/>
          <w:sz w:val="24"/>
          <w:szCs w:val="24"/>
        </w:rPr>
        <w:t>s</w:t>
      </w:r>
      <w:r w:rsidR="00AE10D2">
        <w:rPr>
          <w:rFonts w:ascii="Times New Roman" w:hAnsi="Times New Roman"/>
          <w:sz w:val="24"/>
          <w:szCs w:val="24"/>
        </w:rPr>
        <w:t xml:space="preserve"> at public meeting</w:t>
      </w:r>
      <w:bookmarkEnd w:id="3"/>
    </w:p>
    <w:p w14:paraId="13BC9F16" w14:textId="618CDBD5" w:rsidR="00AE10D2" w:rsidRDefault="0058210C" w:rsidP="00AB2ECF">
      <w:pPr>
        <w:rPr>
          <w:rFonts w:ascii="Times New Roman" w:hAnsi="Times New Roman"/>
          <w:sz w:val="24"/>
          <w:szCs w:val="24"/>
        </w:rPr>
      </w:pPr>
      <w:r>
        <w:rPr>
          <w:rFonts w:ascii="Times New Roman" w:hAnsi="Times New Roman"/>
          <w:sz w:val="24"/>
          <w:szCs w:val="24"/>
        </w:rPr>
        <w:t xml:space="preserve">December </w:t>
      </w:r>
      <w:r w:rsidR="001A6313">
        <w:rPr>
          <w:rFonts w:ascii="Times New Roman" w:hAnsi="Times New Roman"/>
          <w:sz w:val="24"/>
          <w:szCs w:val="24"/>
        </w:rPr>
        <w:t>1</w:t>
      </w:r>
      <w:r w:rsidR="00E76C0A">
        <w:rPr>
          <w:rFonts w:ascii="Times New Roman" w:hAnsi="Times New Roman"/>
          <w:sz w:val="24"/>
          <w:szCs w:val="24"/>
        </w:rPr>
        <w:t>5</w:t>
      </w:r>
      <w:r w:rsidR="00DF0DBA">
        <w:rPr>
          <w:rFonts w:ascii="Times New Roman" w:hAnsi="Times New Roman"/>
          <w:sz w:val="24"/>
          <w:szCs w:val="24"/>
        </w:rPr>
        <w:t>:</w:t>
      </w:r>
      <w:r w:rsidR="00E76C0A">
        <w:rPr>
          <w:rFonts w:ascii="Times New Roman" w:hAnsi="Times New Roman"/>
          <w:sz w:val="24"/>
          <w:szCs w:val="24"/>
        </w:rPr>
        <w:tab/>
      </w:r>
      <w:r>
        <w:rPr>
          <w:rFonts w:ascii="Times New Roman" w:hAnsi="Times New Roman"/>
          <w:sz w:val="24"/>
          <w:szCs w:val="24"/>
        </w:rPr>
        <w:tab/>
      </w:r>
      <w:r w:rsidR="00AE10D2">
        <w:rPr>
          <w:rFonts w:ascii="Times New Roman" w:hAnsi="Times New Roman"/>
          <w:sz w:val="24"/>
          <w:szCs w:val="24"/>
        </w:rPr>
        <w:t xml:space="preserve">GMCB </w:t>
      </w:r>
      <w:r w:rsidR="007C2415">
        <w:rPr>
          <w:rFonts w:ascii="Times New Roman" w:hAnsi="Times New Roman"/>
          <w:sz w:val="24"/>
          <w:szCs w:val="24"/>
        </w:rPr>
        <w:t xml:space="preserve">issues </w:t>
      </w:r>
      <w:r w:rsidR="00AE10D2">
        <w:rPr>
          <w:rFonts w:ascii="Times New Roman" w:hAnsi="Times New Roman"/>
          <w:sz w:val="24"/>
          <w:szCs w:val="24"/>
        </w:rPr>
        <w:t>written order</w:t>
      </w:r>
      <w:r w:rsidR="007C2415">
        <w:rPr>
          <w:rFonts w:ascii="Times New Roman" w:hAnsi="Times New Roman"/>
          <w:sz w:val="24"/>
          <w:szCs w:val="24"/>
        </w:rPr>
        <w:t>s</w:t>
      </w:r>
      <w:r w:rsidR="00AE10D2">
        <w:rPr>
          <w:rFonts w:ascii="Times New Roman" w:hAnsi="Times New Roman"/>
          <w:sz w:val="24"/>
          <w:szCs w:val="24"/>
        </w:rPr>
        <w:t xml:space="preserve"> to ACOs</w:t>
      </w:r>
    </w:p>
    <w:bookmarkEnd w:id="1"/>
    <w:p w14:paraId="462FDCD8" w14:textId="77777777" w:rsidR="00AB2ECF" w:rsidRDefault="00AB2ECF" w:rsidP="00AB2ECF">
      <w:pPr>
        <w:rPr>
          <w:rFonts w:ascii="Times New Roman" w:hAnsi="Times New Roman"/>
          <w:sz w:val="24"/>
          <w:szCs w:val="24"/>
        </w:rPr>
      </w:pPr>
      <w:r>
        <w:rPr>
          <w:rFonts w:ascii="Times New Roman" w:hAnsi="Times New Roman"/>
          <w:sz w:val="24"/>
          <w:szCs w:val="24"/>
        </w:rPr>
        <w:t xml:space="preserve">For questions </w:t>
      </w:r>
      <w:r w:rsidR="00DF0DBA">
        <w:rPr>
          <w:rFonts w:ascii="Times New Roman" w:hAnsi="Times New Roman"/>
          <w:sz w:val="24"/>
          <w:szCs w:val="24"/>
        </w:rPr>
        <w:t>about this guidance</w:t>
      </w:r>
      <w:r>
        <w:rPr>
          <w:rFonts w:ascii="Times New Roman" w:hAnsi="Times New Roman"/>
          <w:sz w:val="24"/>
          <w:szCs w:val="24"/>
        </w:rPr>
        <w:t>, please c</w:t>
      </w:r>
      <w:r w:rsidR="00DF0DBA">
        <w:rPr>
          <w:rFonts w:ascii="Times New Roman" w:hAnsi="Times New Roman"/>
          <w:sz w:val="24"/>
          <w:szCs w:val="24"/>
        </w:rPr>
        <w:t>ontact</w:t>
      </w:r>
      <w:r>
        <w:rPr>
          <w:rFonts w:ascii="Times New Roman" w:hAnsi="Times New Roman"/>
          <w:sz w:val="24"/>
          <w:szCs w:val="24"/>
        </w:rPr>
        <w:t xml:space="preserve"> Melissa Miles at 802-</w:t>
      </w:r>
      <w:r w:rsidR="008E4CC0">
        <w:rPr>
          <w:rFonts w:ascii="Times New Roman" w:hAnsi="Times New Roman"/>
          <w:sz w:val="24"/>
          <w:szCs w:val="24"/>
        </w:rPr>
        <w:t>828-2177</w:t>
      </w:r>
      <w:r>
        <w:rPr>
          <w:rFonts w:ascii="Times New Roman" w:hAnsi="Times New Roman"/>
          <w:sz w:val="24"/>
          <w:szCs w:val="24"/>
        </w:rPr>
        <w:t xml:space="preserve"> or </w:t>
      </w:r>
      <w:hyperlink r:id="rId8" w:history="1">
        <w:r w:rsidRPr="008F4254">
          <w:rPr>
            <w:rStyle w:val="Hyperlink"/>
            <w:rFonts w:ascii="Times New Roman" w:hAnsi="Times New Roman"/>
            <w:sz w:val="24"/>
            <w:szCs w:val="24"/>
          </w:rPr>
          <w:t>melissa.miles@vermont.gov</w:t>
        </w:r>
      </w:hyperlink>
      <w:r>
        <w:rPr>
          <w:rFonts w:ascii="Times New Roman" w:hAnsi="Times New Roman"/>
          <w:sz w:val="24"/>
          <w:szCs w:val="24"/>
        </w:rPr>
        <w:t>.</w:t>
      </w:r>
    </w:p>
    <w:bookmarkEnd w:id="2"/>
    <w:p w14:paraId="0CB87C8E" w14:textId="77777777" w:rsidR="002B7671" w:rsidRDefault="002B7671" w:rsidP="00AB2ECF">
      <w:pPr>
        <w:pStyle w:val="NoSpacing"/>
        <w:rPr>
          <w:rFonts w:ascii="Times New Roman" w:hAnsi="Times New Roman" w:cs="Times New Roman"/>
          <w:sz w:val="24"/>
          <w:szCs w:val="24"/>
        </w:rPr>
      </w:pPr>
    </w:p>
    <w:p w14:paraId="70B25812" w14:textId="77777777" w:rsidR="003936BA" w:rsidRPr="003936BA" w:rsidRDefault="003936BA" w:rsidP="00AB2ECF">
      <w:pPr>
        <w:pStyle w:val="NoSpacing"/>
        <w:rPr>
          <w:rFonts w:ascii="Times New Roman" w:hAnsi="Times New Roman" w:cs="Times New Roman"/>
          <w:sz w:val="20"/>
          <w:szCs w:val="20"/>
        </w:rPr>
      </w:pPr>
    </w:p>
    <w:p w14:paraId="04E99AEF" w14:textId="77777777" w:rsidR="00F92A54" w:rsidRPr="003936BA" w:rsidRDefault="00F92A54">
      <w:pPr>
        <w:rPr>
          <w:rFonts w:ascii="Times New Roman" w:hAnsi="Times New Roman"/>
          <w:sz w:val="20"/>
          <w:szCs w:val="20"/>
        </w:rPr>
      </w:pPr>
      <w:r w:rsidRPr="003936BA">
        <w:rPr>
          <w:rFonts w:ascii="Times New Roman" w:hAnsi="Times New Roman"/>
          <w:sz w:val="20"/>
          <w:szCs w:val="20"/>
        </w:rPr>
        <w:br w:type="page"/>
      </w:r>
    </w:p>
    <w:p w14:paraId="10E987FC" w14:textId="77777777" w:rsidR="00F92A54" w:rsidRPr="00895595" w:rsidRDefault="00F92A54" w:rsidP="00FA7C6A">
      <w:pPr>
        <w:pStyle w:val="Heading1"/>
        <w:jc w:val="center"/>
      </w:pPr>
      <w:r w:rsidRPr="00895595">
        <w:lastRenderedPageBreak/>
        <w:t>TABLE OF CONTENTS</w:t>
      </w:r>
    </w:p>
    <w:p w14:paraId="475A20BB" w14:textId="224A8B2E" w:rsidR="004C7703" w:rsidRDefault="004C7703" w:rsidP="008C61DE">
      <w:pPr>
        <w:pStyle w:val="Heading3"/>
      </w:pPr>
      <w:bookmarkStart w:id="4" w:name="_Hlk515372955"/>
      <w:r>
        <w:t>Part I.  Reporting Requirements</w:t>
      </w:r>
      <w:bookmarkEnd w:id="4"/>
    </w:p>
    <w:p w14:paraId="6A129B1F" w14:textId="0805CBB6" w:rsidR="00F92A54" w:rsidRDefault="004C7703" w:rsidP="008C61DE">
      <w:pPr>
        <w:pStyle w:val="Heading3"/>
      </w:pPr>
      <w:r>
        <w:t xml:space="preserve">Section </w:t>
      </w:r>
      <w:r w:rsidR="00F92A54">
        <w:t xml:space="preserve">1. </w:t>
      </w:r>
      <w:r w:rsidR="00F92A54" w:rsidRPr="00EC3011">
        <w:t>ACO Background</w:t>
      </w:r>
    </w:p>
    <w:p w14:paraId="66D5E686" w14:textId="6164B60B" w:rsidR="008E4CC0" w:rsidRPr="008E4CC0" w:rsidRDefault="004C7703" w:rsidP="008C61DE">
      <w:pPr>
        <w:pStyle w:val="Heading3"/>
      </w:pPr>
      <w:r>
        <w:t>Section</w:t>
      </w:r>
      <w:r w:rsidR="00F92A54" w:rsidRPr="008E4CC0">
        <w:t xml:space="preserve"> 2. ACO Providers  </w:t>
      </w:r>
    </w:p>
    <w:p w14:paraId="36F9A2F5" w14:textId="281E1C40" w:rsidR="0035183A" w:rsidRPr="008E4CC0" w:rsidRDefault="004C7703" w:rsidP="008E4CC0">
      <w:pPr>
        <w:pStyle w:val="NoSpacing"/>
        <w:rPr>
          <w:rFonts w:ascii="Times New Roman" w:hAnsi="Times New Roman" w:cs="Times New Roman"/>
          <w:sz w:val="24"/>
          <w:szCs w:val="24"/>
        </w:rPr>
      </w:pPr>
      <w:r>
        <w:rPr>
          <w:rFonts w:ascii="Times New Roman" w:hAnsi="Times New Roman" w:cs="Times New Roman"/>
          <w:sz w:val="24"/>
          <w:szCs w:val="24"/>
        </w:rPr>
        <w:t>Section</w:t>
      </w:r>
      <w:r w:rsidR="00733F42">
        <w:rPr>
          <w:rFonts w:ascii="Times New Roman" w:hAnsi="Times New Roman" w:cs="Times New Roman"/>
          <w:sz w:val="24"/>
          <w:szCs w:val="24"/>
        </w:rPr>
        <w:t>s</w:t>
      </w:r>
      <w:r>
        <w:rPr>
          <w:rFonts w:ascii="Times New Roman" w:hAnsi="Times New Roman" w:cs="Times New Roman"/>
          <w:sz w:val="24"/>
          <w:szCs w:val="24"/>
        </w:rPr>
        <w:t xml:space="preserve"> </w:t>
      </w:r>
      <w:r w:rsidR="005F7077">
        <w:rPr>
          <w:rFonts w:ascii="Times New Roman" w:hAnsi="Times New Roman" w:cs="Times New Roman"/>
          <w:sz w:val="24"/>
          <w:szCs w:val="24"/>
        </w:rPr>
        <w:t>2</w:t>
      </w:r>
      <w:r w:rsidR="00733F42">
        <w:rPr>
          <w:rFonts w:ascii="Times New Roman" w:hAnsi="Times New Roman" w:cs="Times New Roman"/>
          <w:sz w:val="24"/>
          <w:szCs w:val="24"/>
        </w:rPr>
        <w:t>-3</w:t>
      </w:r>
      <w:r w:rsidR="005F7077">
        <w:rPr>
          <w:rFonts w:ascii="Times New Roman" w:hAnsi="Times New Roman" w:cs="Times New Roman"/>
          <w:sz w:val="24"/>
          <w:szCs w:val="24"/>
        </w:rPr>
        <w:t xml:space="preserve"> </w:t>
      </w:r>
      <w:r w:rsidR="00F92A54" w:rsidRPr="008E4CC0">
        <w:rPr>
          <w:rFonts w:ascii="Times New Roman" w:hAnsi="Times New Roman" w:cs="Times New Roman"/>
          <w:sz w:val="24"/>
          <w:szCs w:val="24"/>
        </w:rPr>
        <w:t>Appendi</w:t>
      </w:r>
      <w:r w:rsidR="005F7077">
        <w:rPr>
          <w:rFonts w:ascii="Times New Roman" w:hAnsi="Times New Roman" w:cs="Times New Roman"/>
          <w:sz w:val="24"/>
          <w:szCs w:val="24"/>
        </w:rPr>
        <w:t>ces</w:t>
      </w:r>
      <w:r w:rsidR="00602685">
        <w:rPr>
          <w:rFonts w:ascii="Times New Roman" w:hAnsi="Times New Roman" w:cs="Times New Roman"/>
          <w:sz w:val="24"/>
          <w:szCs w:val="24"/>
        </w:rPr>
        <w:t>: ACO Providers and Payer Programs</w:t>
      </w:r>
    </w:p>
    <w:p w14:paraId="21ED69A5" w14:textId="730AC200" w:rsidR="00F92A54" w:rsidRPr="005F7077" w:rsidRDefault="005F7077" w:rsidP="004804B3">
      <w:pPr>
        <w:pStyle w:val="NoSpacing"/>
        <w:numPr>
          <w:ilvl w:val="0"/>
          <w:numId w:val="4"/>
        </w:numPr>
        <w:rPr>
          <w:rFonts w:ascii="Times New Roman" w:hAnsi="Times New Roman" w:cs="Times New Roman"/>
          <w:sz w:val="24"/>
          <w:szCs w:val="24"/>
        </w:rPr>
      </w:pPr>
      <w:r w:rsidRPr="005F7077">
        <w:rPr>
          <w:rFonts w:ascii="Times New Roman" w:hAnsi="Times New Roman" w:cs="Times New Roman"/>
          <w:sz w:val="24"/>
          <w:szCs w:val="24"/>
        </w:rPr>
        <w:t>2</w:t>
      </w:r>
      <w:r w:rsidR="00602685" w:rsidRPr="005F7077">
        <w:rPr>
          <w:rFonts w:ascii="Times New Roman" w:hAnsi="Times New Roman" w:cs="Times New Roman"/>
          <w:sz w:val="24"/>
          <w:szCs w:val="24"/>
        </w:rPr>
        <w:t>.1</w:t>
      </w:r>
      <w:r w:rsidR="00F92A54" w:rsidRPr="005F7077">
        <w:rPr>
          <w:rFonts w:ascii="Times New Roman" w:hAnsi="Times New Roman" w:cs="Times New Roman"/>
          <w:sz w:val="24"/>
          <w:szCs w:val="24"/>
        </w:rPr>
        <w:t xml:space="preserve">: </w:t>
      </w:r>
      <w:r w:rsidR="00E26EB2">
        <w:rPr>
          <w:rFonts w:ascii="Times New Roman" w:hAnsi="Times New Roman" w:cs="Times New Roman"/>
          <w:sz w:val="24"/>
          <w:szCs w:val="24"/>
        </w:rPr>
        <w:t xml:space="preserve">2019 </w:t>
      </w:r>
      <w:r w:rsidR="00F92A54" w:rsidRPr="005F7077">
        <w:rPr>
          <w:rFonts w:ascii="Times New Roman" w:hAnsi="Times New Roman" w:cs="Times New Roman"/>
          <w:sz w:val="24"/>
          <w:szCs w:val="24"/>
        </w:rPr>
        <w:t xml:space="preserve">ACO Provider </w:t>
      </w:r>
      <w:r w:rsidR="00570C29">
        <w:rPr>
          <w:rFonts w:ascii="Times New Roman" w:hAnsi="Times New Roman" w:cs="Times New Roman"/>
          <w:sz w:val="24"/>
          <w:szCs w:val="24"/>
        </w:rPr>
        <w:t>Network</w:t>
      </w:r>
      <w:r w:rsidR="00570C29" w:rsidRPr="005F7077">
        <w:rPr>
          <w:rFonts w:ascii="Times New Roman" w:hAnsi="Times New Roman" w:cs="Times New Roman"/>
          <w:sz w:val="24"/>
          <w:szCs w:val="24"/>
        </w:rPr>
        <w:t xml:space="preserve"> </w:t>
      </w:r>
      <w:r w:rsidR="00F92A54" w:rsidRPr="005F7077">
        <w:rPr>
          <w:rFonts w:ascii="Times New Roman" w:hAnsi="Times New Roman" w:cs="Times New Roman"/>
          <w:sz w:val="24"/>
          <w:szCs w:val="24"/>
        </w:rPr>
        <w:t xml:space="preserve"> </w:t>
      </w:r>
    </w:p>
    <w:p w14:paraId="2BFAB436" w14:textId="7EC175A1" w:rsidR="00F92A54" w:rsidRPr="005F7077" w:rsidRDefault="005F7077" w:rsidP="004804B3">
      <w:pPr>
        <w:pStyle w:val="NoSpacing"/>
        <w:numPr>
          <w:ilvl w:val="0"/>
          <w:numId w:val="4"/>
        </w:numPr>
        <w:rPr>
          <w:rFonts w:ascii="Times New Roman" w:hAnsi="Times New Roman" w:cs="Times New Roman"/>
          <w:sz w:val="24"/>
          <w:szCs w:val="24"/>
        </w:rPr>
      </w:pPr>
      <w:r w:rsidRPr="005F7077">
        <w:rPr>
          <w:rFonts w:ascii="Times New Roman" w:hAnsi="Times New Roman" w:cs="Times New Roman"/>
          <w:sz w:val="24"/>
          <w:szCs w:val="24"/>
        </w:rPr>
        <w:t>2</w:t>
      </w:r>
      <w:r w:rsidR="00602685" w:rsidRPr="005F7077">
        <w:rPr>
          <w:rFonts w:ascii="Times New Roman" w:hAnsi="Times New Roman" w:cs="Times New Roman"/>
          <w:sz w:val="24"/>
          <w:szCs w:val="24"/>
        </w:rPr>
        <w:t>.</w:t>
      </w:r>
      <w:r w:rsidR="0035183A" w:rsidRPr="005F7077">
        <w:rPr>
          <w:rFonts w:ascii="Times New Roman" w:hAnsi="Times New Roman" w:cs="Times New Roman"/>
          <w:sz w:val="24"/>
          <w:szCs w:val="24"/>
        </w:rPr>
        <w:t>2</w:t>
      </w:r>
      <w:r w:rsidR="00F92A54" w:rsidRPr="005F7077">
        <w:rPr>
          <w:rFonts w:ascii="Times New Roman" w:hAnsi="Times New Roman" w:cs="Times New Roman"/>
          <w:sz w:val="24"/>
          <w:szCs w:val="24"/>
        </w:rPr>
        <w:t xml:space="preserve">: </w:t>
      </w:r>
      <w:r w:rsidR="00E26EB2">
        <w:rPr>
          <w:rFonts w:ascii="Times New Roman" w:hAnsi="Times New Roman" w:cs="Times New Roman"/>
          <w:sz w:val="24"/>
          <w:szCs w:val="24"/>
        </w:rPr>
        <w:t xml:space="preserve">2019 </w:t>
      </w:r>
      <w:r w:rsidR="00F92A54" w:rsidRPr="005F7077">
        <w:rPr>
          <w:rFonts w:ascii="Times New Roman" w:hAnsi="Times New Roman" w:cs="Times New Roman"/>
          <w:sz w:val="24"/>
          <w:szCs w:val="24"/>
        </w:rPr>
        <w:t xml:space="preserve">ACO Summary Network </w:t>
      </w:r>
    </w:p>
    <w:p w14:paraId="4BE04A37" w14:textId="34E3CCA3" w:rsidR="00602685" w:rsidRDefault="005F7077" w:rsidP="004804B3">
      <w:pPr>
        <w:pStyle w:val="NoSpacing"/>
        <w:numPr>
          <w:ilvl w:val="0"/>
          <w:numId w:val="4"/>
        </w:numPr>
        <w:rPr>
          <w:rFonts w:ascii="Times New Roman" w:hAnsi="Times New Roman" w:cs="Times New Roman"/>
          <w:sz w:val="24"/>
          <w:szCs w:val="24"/>
        </w:rPr>
      </w:pPr>
      <w:r w:rsidRPr="005F7077">
        <w:rPr>
          <w:rFonts w:ascii="Times New Roman" w:hAnsi="Times New Roman" w:cs="Times New Roman"/>
          <w:sz w:val="24"/>
          <w:szCs w:val="24"/>
        </w:rPr>
        <w:t>2</w:t>
      </w:r>
      <w:r w:rsidR="00602685" w:rsidRPr="005F7077">
        <w:rPr>
          <w:rFonts w:ascii="Times New Roman" w:hAnsi="Times New Roman" w:cs="Times New Roman"/>
          <w:sz w:val="24"/>
          <w:szCs w:val="24"/>
        </w:rPr>
        <w:t>.</w:t>
      </w:r>
      <w:r w:rsidR="00F92A54" w:rsidRPr="005F7077">
        <w:rPr>
          <w:rFonts w:ascii="Times New Roman" w:hAnsi="Times New Roman" w:cs="Times New Roman"/>
          <w:sz w:val="24"/>
          <w:szCs w:val="24"/>
        </w:rPr>
        <w:t xml:space="preserve">3: </w:t>
      </w:r>
      <w:r w:rsidR="00C7461D" w:rsidRPr="005F7077">
        <w:rPr>
          <w:rFonts w:ascii="Times New Roman" w:hAnsi="Times New Roman" w:cs="Times New Roman"/>
          <w:sz w:val="24"/>
          <w:szCs w:val="24"/>
        </w:rPr>
        <w:t xml:space="preserve">2019 </w:t>
      </w:r>
      <w:r w:rsidR="00EA337E">
        <w:rPr>
          <w:rFonts w:ascii="Times New Roman" w:hAnsi="Times New Roman" w:cs="Times New Roman"/>
          <w:sz w:val="24"/>
          <w:szCs w:val="24"/>
        </w:rPr>
        <w:t xml:space="preserve">ACO </w:t>
      </w:r>
      <w:r w:rsidR="00C7461D" w:rsidRPr="005F7077">
        <w:rPr>
          <w:rFonts w:ascii="Times New Roman" w:hAnsi="Times New Roman" w:cs="Times New Roman"/>
          <w:sz w:val="24"/>
          <w:szCs w:val="24"/>
        </w:rPr>
        <w:t>Projected Risk Amounts</w:t>
      </w:r>
    </w:p>
    <w:p w14:paraId="768C0E92" w14:textId="0007F31E" w:rsidR="00D43CB5" w:rsidRPr="00D43CB5" w:rsidRDefault="00D43CB5" w:rsidP="004804B3">
      <w:pPr>
        <w:pStyle w:val="NoSpacing"/>
        <w:numPr>
          <w:ilvl w:val="0"/>
          <w:numId w:val="4"/>
        </w:numPr>
        <w:rPr>
          <w:rFonts w:ascii="Times New Roman" w:hAnsi="Times New Roman" w:cs="Times New Roman"/>
          <w:sz w:val="24"/>
          <w:szCs w:val="24"/>
        </w:rPr>
      </w:pPr>
      <w:r w:rsidRPr="00D43CB5">
        <w:rPr>
          <w:rFonts w:ascii="Times New Roman" w:hAnsi="Times New Roman"/>
          <w:sz w:val="24"/>
          <w:szCs w:val="24"/>
        </w:rPr>
        <w:t xml:space="preserve">2.4: 2019 </w:t>
      </w:r>
      <w:r w:rsidR="00EA337E">
        <w:rPr>
          <w:rFonts w:ascii="Times New Roman" w:hAnsi="Times New Roman"/>
          <w:sz w:val="24"/>
          <w:szCs w:val="24"/>
        </w:rPr>
        <w:t xml:space="preserve">ACO </w:t>
      </w:r>
      <w:r w:rsidRPr="00D43CB5">
        <w:rPr>
          <w:rFonts w:ascii="Times New Roman" w:hAnsi="Times New Roman"/>
          <w:sz w:val="24"/>
          <w:szCs w:val="24"/>
        </w:rPr>
        <w:t xml:space="preserve">Budgeted Risk Model </w:t>
      </w:r>
    </w:p>
    <w:p w14:paraId="7617FB22" w14:textId="363FA3F0" w:rsidR="00F92A54" w:rsidRPr="00EC3011" w:rsidRDefault="004C7703" w:rsidP="008C61DE">
      <w:pPr>
        <w:pStyle w:val="Heading3"/>
      </w:pPr>
      <w:r>
        <w:t xml:space="preserve">Section </w:t>
      </w:r>
      <w:r w:rsidR="00F92A54">
        <w:t xml:space="preserve">3. </w:t>
      </w:r>
      <w:r w:rsidR="00F92A54" w:rsidRPr="00EC3011">
        <w:t xml:space="preserve">ACO </w:t>
      </w:r>
      <w:r w:rsidR="00F92A54">
        <w:t xml:space="preserve">Payer </w:t>
      </w:r>
      <w:r w:rsidR="00F92A54" w:rsidRPr="00EC3011">
        <w:t xml:space="preserve">Programs </w:t>
      </w:r>
    </w:p>
    <w:p w14:paraId="110A508C" w14:textId="609BC315" w:rsidR="005F7077" w:rsidRDefault="004C7703" w:rsidP="00A53AFA">
      <w:pPr>
        <w:pStyle w:val="NoSpacing"/>
        <w:rPr>
          <w:rFonts w:ascii="Times New Roman" w:hAnsi="Times New Roman" w:cs="Times New Roman"/>
          <w:sz w:val="24"/>
          <w:szCs w:val="24"/>
        </w:rPr>
      </w:pPr>
      <w:r w:rsidRPr="004C7703">
        <w:rPr>
          <w:rFonts w:ascii="Times New Roman" w:hAnsi="Times New Roman" w:cs="Times New Roman"/>
          <w:sz w:val="24"/>
          <w:szCs w:val="24"/>
        </w:rPr>
        <w:t>Section</w:t>
      </w:r>
      <w:r>
        <w:rPr>
          <w:rFonts w:ascii="Times New Roman" w:hAnsi="Times New Roman" w:cs="Times New Roman"/>
          <w:sz w:val="24"/>
          <w:szCs w:val="24"/>
        </w:rPr>
        <w:t xml:space="preserve"> </w:t>
      </w:r>
      <w:r w:rsidR="00A535BA">
        <w:rPr>
          <w:rFonts w:ascii="Times New Roman" w:hAnsi="Times New Roman" w:cs="Times New Roman"/>
          <w:sz w:val="24"/>
          <w:szCs w:val="24"/>
        </w:rPr>
        <w:t>2</w:t>
      </w:r>
      <w:r w:rsidR="00733F42">
        <w:rPr>
          <w:rFonts w:ascii="Times New Roman" w:hAnsi="Times New Roman" w:cs="Times New Roman"/>
          <w:sz w:val="24"/>
          <w:szCs w:val="24"/>
        </w:rPr>
        <w:t>-3</w:t>
      </w:r>
      <w:r w:rsidR="005F7077">
        <w:rPr>
          <w:rFonts w:ascii="Times New Roman" w:hAnsi="Times New Roman" w:cs="Times New Roman"/>
          <w:sz w:val="24"/>
          <w:szCs w:val="24"/>
        </w:rPr>
        <w:t xml:space="preserve"> Appendi</w:t>
      </w:r>
      <w:r w:rsidR="00A535BA">
        <w:rPr>
          <w:rFonts w:ascii="Times New Roman" w:hAnsi="Times New Roman" w:cs="Times New Roman"/>
          <w:sz w:val="24"/>
          <w:szCs w:val="24"/>
        </w:rPr>
        <w:t>ces: ACO Providers and Payer Programs</w:t>
      </w:r>
    </w:p>
    <w:p w14:paraId="53C0D4D0" w14:textId="5FC054CB" w:rsidR="00F92A54" w:rsidRPr="00EC3011" w:rsidRDefault="005F7077" w:rsidP="004804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3</w:t>
      </w:r>
      <w:r w:rsidR="00C7461D">
        <w:rPr>
          <w:rFonts w:ascii="Times New Roman" w:hAnsi="Times New Roman" w:cs="Times New Roman"/>
          <w:sz w:val="24"/>
          <w:szCs w:val="24"/>
        </w:rPr>
        <w:t>.1</w:t>
      </w:r>
      <w:r w:rsidR="00F92A54">
        <w:rPr>
          <w:rFonts w:ascii="Times New Roman" w:hAnsi="Times New Roman" w:cs="Times New Roman"/>
          <w:sz w:val="24"/>
          <w:szCs w:val="24"/>
        </w:rPr>
        <w:t xml:space="preserve">: </w:t>
      </w:r>
      <w:r w:rsidR="00703419">
        <w:rPr>
          <w:rFonts w:ascii="Times New Roman" w:hAnsi="Times New Roman" w:cs="Times New Roman"/>
          <w:sz w:val="24"/>
          <w:szCs w:val="24"/>
        </w:rPr>
        <w:t xml:space="preserve">2019 </w:t>
      </w:r>
      <w:r w:rsidR="00EA337E">
        <w:rPr>
          <w:rFonts w:ascii="Times New Roman" w:hAnsi="Times New Roman" w:cs="Times New Roman"/>
          <w:sz w:val="24"/>
          <w:szCs w:val="24"/>
        </w:rPr>
        <w:t xml:space="preserve">Payer </w:t>
      </w:r>
      <w:r w:rsidR="00F92A54">
        <w:rPr>
          <w:rFonts w:ascii="Times New Roman" w:hAnsi="Times New Roman" w:cs="Times New Roman"/>
          <w:sz w:val="24"/>
          <w:szCs w:val="24"/>
        </w:rPr>
        <w:t>Program Arrangements</w:t>
      </w:r>
      <w:r w:rsidR="00F92A54" w:rsidRPr="00EC3011">
        <w:rPr>
          <w:rFonts w:ascii="Times New Roman" w:hAnsi="Times New Roman" w:cs="Times New Roman"/>
          <w:sz w:val="24"/>
          <w:szCs w:val="24"/>
        </w:rPr>
        <w:t xml:space="preserve"> </w:t>
      </w:r>
    </w:p>
    <w:p w14:paraId="27B1141E" w14:textId="677A701D" w:rsidR="00BF69F0" w:rsidRPr="00BF69F0" w:rsidRDefault="004C7703" w:rsidP="00A53AFA">
      <w:pPr>
        <w:pStyle w:val="Heading3"/>
      </w:pPr>
      <w:r>
        <w:t>Section</w:t>
      </w:r>
      <w:r w:rsidR="00F92A54" w:rsidRPr="00BF69F0">
        <w:t xml:space="preserve"> 4. ACO Financial Plan</w:t>
      </w:r>
    </w:p>
    <w:p w14:paraId="4F5D9398" w14:textId="5F2C00CB" w:rsidR="00973CFF" w:rsidRPr="00BF69F0" w:rsidRDefault="004C7703" w:rsidP="00BF69F0">
      <w:pPr>
        <w:pStyle w:val="NoSpacing"/>
        <w:rPr>
          <w:rFonts w:ascii="Times New Roman" w:hAnsi="Times New Roman" w:cs="Times New Roman"/>
          <w:sz w:val="24"/>
          <w:szCs w:val="24"/>
        </w:rPr>
      </w:pPr>
      <w:r>
        <w:rPr>
          <w:rFonts w:ascii="Times New Roman" w:hAnsi="Times New Roman" w:cs="Times New Roman"/>
          <w:sz w:val="24"/>
          <w:szCs w:val="24"/>
        </w:rPr>
        <w:t xml:space="preserve">Section </w:t>
      </w:r>
      <w:r w:rsidR="005F7077">
        <w:rPr>
          <w:rFonts w:ascii="Times New Roman" w:hAnsi="Times New Roman" w:cs="Times New Roman"/>
          <w:sz w:val="24"/>
          <w:szCs w:val="24"/>
        </w:rPr>
        <w:t>4</w:t>
      </w:r>
      <w:r w:rsidR="003237A5">
        <w:rPr>
          <w:rFonts w:ascii="Times New Roman" w:hAnsi="Times New Roman" w:cs="Times New Roman"/>
          <w:sz w:val="24"/>
          <w:szCs w:val="24"/>
        </w:rPr>
        <w:t xml:space="preserve"> </w:t>
      </w:r>
      <w:r w:rsidR="0035183A" w:rsidRPr="00BF69F0">
        <w:rPr>
          <w:rFonts w:ascii="Times New Roman" w:hAnsi="Times New Roman" w:cs="Times New Roman"/>
          <w:sz w:val="24"/>
          <w:szCs w:val="24"/>
        </w:rPr>
        <w:t>Appendi</w:t>
      </w:r>
      <w:r w:rsidR="003237A5">
        <w:rPr>
          <w:rFonts w:ascii="Times New Roman" w:hAnsi="Times New Roman" w:cs="Times New Roman"/>
          <w:sz w:val="24"/>
          <w:szCs w:val="24"/>
        </w:rPr>
        <w:t>ces</w:t>
      </w:r>
      <w:r w:rsidR="00C7461D">
        <w:rPr>
          <w:rFonts w:ascii="Times New Roman" w:hAnsi="Times New Roman" w:cs="Times New Roman"/>
          <w:sz w:val="24"/>
          <w:szCs w:val="24"/>
        </w:rPr>
        <w:t xml:space="preserve">: </w:t>
      </w:r>
      <w:r w:rsidR="00602685">
        <w:rPr>
          <w:rFonts w:ascii="Times New Roman" w:hAnsi="Times New Roman" w:cs="Times New Roman"/>
          <w:sz w:val="24"/>
          <w:szCs w:val="24"/>
        </w:rPr>
        <w:t>ACO Financial Plan</w:t>
      </w:r>
    </w:p>
    <w:p w14:paraId="53F4201C"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.1: Balance Sheet – 2017 Actuals, 2018 Projected, and 2019 Budget</w:t>
      </w:r>
    </w:p>
    <w:p w14:paraId="5780AF9B" w14:textId="525B5D19"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.2: Income S</w:t>
      </w:r>
      <w:r w:rsidR="00E1781B" w:rsidRPr="00D143FC">
        <w:rPr>
          <w:rFonts w:ascii="Times New Roman" w:hAnsi="Times New Roman" w:cs="Times New Roman"/>
          <w:sz w:val="24"/>
          <w:szCs w:val="24"/>
        </w:rPr>
        <w:t>tatement</w:t>
      </w:r>
      <w:r w:rsidR="00973CFF" w:rsidRPr="00D143FC">
        <w:rPr>
          <w:rFonts w:ascii="Times New Roman" w:hAnsi="Times New Roman" w:cs="Times New Roman"/>
          <w:sz w:val="24"/>
          <w:szCs w:val="24"/>
        </w:rPr>
        <w:t xml:space="preserve"> – 2017 Actuals, 2018 Projected, and 2019 Budget</w:t>
      </w:r>
    </w:p>
    <w:p w14:paraId="7EDDBA8D"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.3: Cash Flow – 2017 Actuals, 2018 Projected, and 2019 Budget</w:t>
      </w:r>
    </w:p>
    <w:p w14:paraId="1B4AACFC"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.4: Revenues by HCP-LAN APM</w:t>
      </w:r>
    </w:p>
    <w:p w14:paraId="1ADAF978"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.5: Revenues by Payer</w:t>
      </w:r>
    </w:p>
    <w:p w14:paraId="5DA133BA"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.6: Medical Costs by Service</w:t>
      </w:r>
    </w:p>
    <w:p w14:paraId="0C4A5D2F" w14:textId="77777777" w:rsidR="00973CFF" w:rsidRPr="00D143FC" w:rsidRDefault="003237A5"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4</w:t>
      </w:r>
      <w:r w:rsidR="00973CFF" w:rsidRPr="00D143FC">
        <w:rPr>
          <w:rFonts w:ascii="Times New Roman" w:hAnsi="Times New Roman" w:cs="Times New Roman"/>
          <w:sz w:val="24"/>
          <w:szCs w:val="24"/>
        </w:rPr>
        <w:t>.7: Medical Costs by APM</w:t>
      </w:r>
    </w:p>
    <w:p w14:paraId="1BE59C28" w14:textId="77777777" w:rsidR="00973CFF" w:rsidRPr="00D143FC" w:rsidRDefault="00C90260" w:rsidP="00D143FC">
      <w:pPr>
        <w:pStyle w:val="NoSpacing"/>
        <w:numPr>
          <w:ilvl w:val="0"/>
          <w:numId w:val="18"/>
        </w:numPr>
        <w:rPr>
          <w:rFonts w:ascii="Times New Roman" w:hAnsi="Times New Roman" w:cs="Times New Roman"/>
          <w:sz w:val="24"/>
          <w:szCs w:val="24"/>
        </w:rPr>
      </w:pPr>
      <w:r w:rsidRPr="00D143FC">
        <w:rPr>
          <w:rFonts w:ascii="Times New Roman" w:hAnsi="Times New Roman" w:cs="Times New Roman"/>
          <w:sz w:val="24"/>
          <w:szCs w:val="24"/>
        </w:rPr>
        <w:t xml:space="preserve">4.8 </w:t>
      </w:r>
      <w:r w:rsidR="00E37E13" w:rsidRPr="00D143FC">
        <w:rPr>
          <w:rFonts w:ascii="Times New Roman" w:hAnsi="Times New Roman" w:cs="Times New Roman"/>
          <w:sz w:val="24"/>
          <w:szCs w:val="24"/>
        </w:rPr>
        <w:t>(separate workbook, a</w:t>
      </w:r>
      <w:r w:rsidR="00F976F7" w:rsidRPr="00D143FC">
        <w:rPr>
          <w:rFonts w:ascii="Times New Roman" w:hAnsi="Times New Roman" w:cs="Times New Roman"/>
          <w:sz w:val="24"/>
          <w:szCs w:val="24"/>
        </w:rPr>
        <w:t xml:space="preserve">ll </w:t>
      </w:r>
      <w:r w:rsidR="00E37E13" w:rsidRPr="00D143FC">
        <w:rPr>
          <w:rFonts w:ascii="Times New Roman" w:hAnsi="Times New Roman" w:cs="Times New Roman"/>
          <w:sz w:val="24"/>
          <w:szCs w:val="24"/>
        </w:rPr>
        <w:t>t</w:t>
      </w:r>
      <w:r w:rsidR="00F976F7" w:rsidRPr="00D143FC">
        <w:rPr>
          <w:rFonts w:ascii="Times New Roman" w:hAnsi="Times New Roman" w:cs="Times New Roman"/>
          <w:sz w:val="24"/>
          <w:szCs w:val="24"/>
        </w:rPr>
        <w:t>abs</w:t>
      </w:r>
      <w:r w:rsidR="00E37E13" w:rsidRPr="00D143FC">
        <w:rPr>
          <w:rFonts w:ascii="Times New Roman" w:hAnsi="Times New Roman" w:cs="Times New Roman"/>
          <w:sz w:val="24"/>
          <w:szCs w:val="24"/>
        </w:rPr>
        <w:t>)</w:t>
      </w:r>
      <w:r w:rsidR="00973CFF" w:rsidRPr="00D143FC">
        <w:rPr>
          <w:rFonts w:ascii="Times New Roman" w:hAnsi="Times New Roman" w:cs="Times New Roman"/>
          <w:sz w:val="24"/>
          <w:szCs w:val="24"/>
        </w:rPr>
        <w:t>: ACO Budget Submission Reporting APM for Participating Hospitals</w:t>
      </w:r>
    </w:p>
    <w:p w14:paraId="52A47A54" w14:textId="77777777" w:rsidR="00F976F7" w:rsidRPr="00D143FC" w:rsidRDefault="00F976F7" w:rsidP="00D77232">
      <w:pPr>
        <w:pStyle w:val="NoSpacing"/>
        <w:numPr>
          <w:ilvl w:val="1"/>
          <w:numId w:val="18"/>
        </w:numPr>
        <w:rPr>
          <w:rFonts w:ascii="Times New Roman" w:hAnsi="Times New Roman" w:cs="Times New Roman"/>
          <w:sz w:val="24"/>
          <w:szCs w:val="24"/>
        </w:rPr>
      </w:pPr>
      <w:bookmarkStart w:id="5" w:name="_GoBack"/>
      <w:bookmarkEnd w:id="5"/>
      <w:r w:rsidRPr="00D143FC">
        <w:rPr>
          <w:rFonts w:ascii="Times New Roman" w:hAnsi="Times New Roman" w:cs="Times New Roman"/>
          <w:sz w:val="24"/>
          <w:szCs w:val="24"/>
        </w:rPr>
        <w:t>Please complete a tab for any new participating hospital</w:t>
      </w:r>
    </w:p>
    <w:p w14:paraId="0AF5D384" w14:textId="36275A0B" w:rsidR="00692908" w:rsidRDefault="004C7703" w:rsidP="00A53AFA">
      <w:pPr>
        <w:pStyle w:val="Heading3"/>
      </w:pPr>
      <w:r>
        <w:t xml:space="preserve">Section </w:t>
      </w:r>
      <w:r w:rsidR="00F92A54">
        <w:t xml:space="preserve">5. </w:t>
      </w:r>
      <w:r w:rsidR="00F92A54" w:rsidRPr="00EC3011">
        <w:t>ACO Model of Care and Community Integration</w:t>
      </w:r>
    </w:p>
    <w:p w14:paraId="13C0311E" w14:textId="1EB619DC" w:rsidR="00F92A54" w:rsidRPr="00C7461D" w:rsidRDefault="004C7703" w:rsidP="00C7461D">
      <w:pPr>
        <w:pStyle w:val="NoSpacing"/>
        <w:rPr>
          <w:rFonts w:ascii="Times New Roman" w:hAnsi="Times New Roman" w:cs="Times New Roman"/>
          <w:sz w:val="24"/>
          <w:szCs w:val="24"/>
        </w:rPr>
      </w:pPr>
      <w:r>
        <w:rPr>
          <w:rFonts w:ascii="Times New Roman" w:hAnsi="Times New Roman" w:cs="Times New Roman"/>
          <w:sz w:val="24"/>
          <w:szCs w:val="24"/>
        </w:rPr>
        <w:t xml:space="preserve">Section </w:t>
      </w:r>
      <w:r w:rsidR="00C7461D" w:rsidRPr="00C7461D">
        <w:rPr>
          <w:rFonts w:ascii="Times New Roman" w:hAnsi="Times New Roman" w:cs="Times New Roman"/>
          <w:sz w:val="24"/>
          <w:szCs w:val="24"/>
        </w:rPr>
        <w:t>5</w:t>
      </w:r>
      <w:r w:rsidR="00981CAC">
        <w:rPr>
          <w:rFonts w:ascii="Times New Roman" w:hAnsi="Times New Roman" w:cs="Times New Roman"/>
          <w:sz w:val="24"/>
          <w:szCs w:val="24"/>
        </w:rPr>
        <w:t xml:space="preserve"> Appendices</w:t>
      </w:r>
      <w:r w:rsidR="00C7461D" w:rsidRPr="00C7461D">
        <w:rPr>
          <w:rFonts w:ascii="Times New Roman" w:hAnsi="Times New Roman" w:cs="Times New Roman"/>
          <w:sz w:val="24"/>
          <w:szCs w:val="24"/>
        </w:rPr>
        <w:t xml:space="preserve">: </w:t>
      </w:r>
      <w:r w:rsidR="00F92A54" w:rsidRPr="00C7461D">
        <w:rPr>
          <w:rFonts w:ascii="Times New Roman" w:hAnsi="Times New Roman" w:cs="Times New Roman"/>
          <w:sz w:val="24"/>
          <w:szCs w:val="24"/>
        </w:rPr>
        <w:t xml:space="preserve">ACO </w:t>
      </w:r>
      <w:r w:rsidR="00C7461D">
        <w:rPr>
          <w:rFonts w:ascii="Times New Roman" w:hAnsi="Times New Roman" w:cs="Times New Roman"/>
          <w:sz w:val="24"/>
          <w:szCs w:val="24"/>
        </w:rPr>
        <w:t>Population Health and Quality</w:t>
      </w:r>
    </w:p>
    <w:p w14:paraId="4F290E49" w14:textId="77777777" w:rsidR="00B01284" w:rsidRDefault="00B01284" w:rsidP="004804B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5.1: 2018 and 2019 ACO Clinical Priority Areas</w:t>
      </w:r>
    </w:p>
    <w:p w14:paraId="7515DDCF" w14:textId="77777777" w:rsidR="004E7680" w:rsidRPr="00B01284" w:rsidRDefault="004E7680" w:rsidP="004804B3">
      <w:pPr>
        <w:pStyle w:val="NoSpacing"/>
        <w:numPr>
          <w:ilvl w:val="0"/>
          <w:numId w:val="3"/>
        </w:numPr>
        <w:rPr>
          <w:rFonts w:ascii="Times New Roman" w:hAnsi="Times New Roman" w:cs="Times New Roman"/>
          <w:sz w:val="24"/>
          <w:szCs w:val="24"/>
        </w:rPr>
      </w:pPr>
      <w:r w:rsidRPr="00C7461D">
        <w:rPr>
          <w:rFonts w:ascii="Times New Roman" w:hAnsi="Times New Roman" w:cs="Times New Roman"/>
          <w:sz w:val="24"/>
          <w:szCs w:val="24"/>
        </w:rPr>
        <w:t>5.</w:t>
      </w:r>
      <w:r w:rsidR="00981CAC">
        <w:rPr>
          <w:rFonts w:ascii="Times New Roman" w:hAnsi="Times New Roman" w:cs="Times New Roman"/>
          <w:sz w:val="24"/>
          <w:szCs w:val="24"/>
        </w:rPr>
        <w:t>2</w:t>
      </w:r>
      <w:r w:rsidR="00C7461D">
        <w:rPr>
          <w:rFonts w:ascii="Times New Roman" w:hAnsi="Times New Roman" w:cs="Times New Roman"/>
          <w:sz w:val="24"/>
          <w:szCs w:val="24"/>
        </w:rPr>
        <w:t xml:space="preserve">: </w:t>
      </w:r>
      <w:r w:rsidR="00B01284">
        <w:rPr>
          <w:rFonts w:ascii="Times New Roman" w:hAnsi="Times New Roman" w:cs="Times New Roman"/>
          <w:sz w:val="24"/>
          <w:szCs w:val="24"/>
        </w:rPr>
        <w:t xml:space="preserve">2018 and 2019 </w:t>
      </w:r>
      <w:r w:rsidR="00C7461D" w:rsidRPr="00B01284">
        <w:rPr>
          <w:rFonts w:ascii="Times New Roman" w:hAnsi="Times New Roman" w:cs="Times New Roman"/>
          <w:sz w:val="24"/>
          <w:szCs w:val="24"/>
        </w:rPr>
        <w:t>All-Payer Model Quality Measures</w:t>
      </w:r>
    </w:p>
    <w:p w14:paraId="1F27866E" w14:textId="48817A03" w:rsidR="00D143FC" w:rsidRPr="004C7703" w:rsidRDefault="00D143FC" w:rsidP="00D143FC">
      <w:pPr>
        <w:pStyle w:val="NoSpacing"/>
        <w:numPr>
          <w:ilvl w:val="0"/>
          <w:numId w:val="3"/>
        </w:numPr>
        <w:rPr>
          <w:rFonts w:ascii="Times New Roman" w:hAnsi="Times New Roman"/>
          <w:b/>
          <w:sz w:val="24"/>
          <w:szCs w:val="24"/>
        </w:rPr>
      </w:pPr>
      <w:r w:rsidRPr="00F41B09">
        <w:rPr>
          <w:rFonts w:ascii="Times New Roman" w:hAnsi="Times New Roman" w:cs="Times New Roman"/>
          <w:sz w:val="24"/>
          <w:szCs w:val="24"/>
        </w:rPr>
        <w:t>5.</w:t>
      </w:r>
      <w:r>
        <w:rPr>
          <w:rFonts w:ascii="Times New Roman" w:hAnsi="Times New Roman" w:cs="Times New Roman"/>
          <w:sz w:val="24"/>
          <w:szCs w:val="24"/>
        </w:rPr>
        <w:t>3</w:t>
      </w:r>
      <w:r w:rsidRPr="00F41B09">
        <w:rPr>
          <w:rFonts w:ascii="Times New Roman" w:hAnsi="Times New Roman" w:cs="Times New Roman"/>
          <w:sz w:val="24"/>
          <w:szCs w:val="24"/>
        </w:rPr>
        <w:t xml:space="preserve">: </w:t>
      </w:r>
      <w:r w:rsidR="00703419" w:rsidRPr="00F41B09">
        <w:rPr>
          <w:rFonts w:ascii="Times New Roman" w:hAnsi="Times New Roman" w:cs="Times New Roman"/>
          <w:sz w:val="24"/>
          <w:szCs w:val="24"/>
        </w:rPr>
        <w:t>2018</w:t>
      </w:r>
      <w:r w:rsidR="00703419">
        <w:rPr>
          <w:rFonts w:ascii="Times New Roman" w:hAnsi="Times New Roman" w:cs="Times New Roman"/>
          <w:sz w:val="24"/>
          <w:szCs w:val="24"/>
        </w:rPr>
        <w:t xml:space="preserve"> and </w:t>
      </w:r>
      <w:r w:rsidR="00703419" w:rsidRPr="00F41B09">
        <w:rPr>
          <w:rFonts w:ascii="Times New Roman" w:hAnsi="Times New Roman" w:cs="Times New Roman"/>
          <w:sz w:val="24"/>
          <w:szCs w:val="24"/>
        </w:rPr>
        <w:t xml:space="preserve">2019 </w:t>
      </w:r>
      <w:r w:rsidRPr="00F41B09">
        <w:rPr>
          <w:rFonts w:ascii="Times New Roman" w:hAnsi="Times New Roman" w:cs="Times New Roman"/>
          <w:sz w:val="24"/>
          <w:szCs w:val="24"/>
        </w:rPr>
        <w:t xml:space="preserve">ACO Population Risk Stratification Summary Analysis </w:t>
      </w:r>
    </w:p>
    <w:p w14:paraId="62EB3F7D" w14:textId="0657F4E9" w:rsidR="004E7680" w:rsidRPr="00C7461D" w:rsidRDefault="004E7680" w:rsidP="004804B3">
      <w:pPr>
        <w:pStyle w:val="NoSpacing"/>
        <w:numPr>
          <w:ilvl w:val="0"/>
          <w:numId w:val="3"/>
        </w:numPr>
        <w:rPr>
          <w:rFonts w:ascii="Times New Roman" w:hAnsi="Times New Roman" w:cs="Times New Roman"/>
          <w:sz w:val="24"/>
          <w:szCs w:val="24"/>
        </w:rPr>
      </w:pPr>
      <w:r w:rsidRPr="00C7461D">
        <w:rPr>
          <w:rFonts w:ascii="Times New Roman" w:hAnsi="Times New Roman" w:cs="Times New Roman"/>
          <w:sz w:val="24"/>
          <w:szCs w:val="24"/>
        </w:rPr>
        <w:t>5.</w:t>
      </w:r>
      <w:r w:rsidR="00D143FC">
        <w:rPr>
          <w:rFonts w:ascii="Times New Roman" w:hAnsi="Times New Roman" w:cs="Times New Roman"/>
          <w:sz w:val="24"/>
          <w:szCs w:val="24"/>
        </w:rPr>
        <w:t>4</w:t>
      </w:r>
      <w:r w:rsidR="00C7461D">
        <w:rPr>
          <w:rFonts w:ascii="Times New Roman" w:hAnsi="Times New Roman" w:cs="Times New Roman"/>
          <w:sz w:val="24"/>
          <w:szCs w:val="24"/>
        </w:rPr>
        <w:t xml:space="preserve">: 2018 </w:t>
      </w:r>
      <w:r w:rsidR="00B01284">
        <w:rPr>
          <w:rFonts w:ascii="Times New Roman" w:hAnsi="Times New Roman" w:cs="Times New Roman"/>
          <w:sz w:val="24"/>
          <w:szCs w:val="24"/>
        </w:rPr>
        <w:t xml:space="preserve">Projected </w:t>
      </w:r>
      <w:r w:rsidR="00C7461D">
        <w:rPr>
          <w:rFonts w:ascii="Times New Roman" w:hAnsi="Times New Roman" w:cs="Times New Roman"/>
          <w:sz w:val="24"/>
          <w:szCs w:val="24"/>
        </w:rPr>
        <w:t xml:space="preserve">Population Health </w:t>
      </w:r>
      <w:r w:rsidR="00B01284">
        <w:rPr>
          <w:rFonts w:ascii="Times New Roman" w:hAnsi="Times New Roman" w:cs="Times New Roman"/>
          <w:sz w:val="24"/>
          <w:szCs w:val="24"/>
        </w:rPr>
        <w:t>Investments Update</w:t>
      </w:r>
    </w:p>
    <w:p w14:paraId="4EE565F5" w14:textId="6138AC15" w:rsidR="004C7703" w:rsidRDefault="004E7680" w:rsidP="004C7703">
      <w:pPr>
        <w:pStyle w:val="NoSpacing"/>
        <w:numPr>
          <w:ilvl w:val="0"/>
          <w:numId w:val="3"/>
        </w:numPr>
        <w:rPr>
          <w:rFonts w:ascii="Times New Roman" w:hAnsi="Times New Roman" w:cs="Times New Roman"/>
          <w:sz w:val="24"/>
          <w:szCs w:val="24"/>
        </w:rPr>
      </w:pPr>
      <w:r w:rsidRPr="00C7461D">
        <w:rPr>
          <w:rFonts w:ascii="Times New Roman" w:hAnsi="Times New Roman" w:cs="Times New Roman"/>
          <w:sz w:val="24"/>
          <w:szCs w:val="24"/>
        </w:rPr>
        <w:t>5.</w:t>
      </w:r>
      <w:r w:rsidR="00D143FC">
        <w:rPr>
          <w:rFonts w:ascii="Times New Roman" w:hAnsi="Times New Roman" w:cs="Times New Roman"/>
          <w:sz w:val="24"/>
          <w:szCs w:val="24"/>
        </w:rPr>
        <w:t>5</w:t>
      </w:r>
      <w:r w:rsidR="00C7461D">
        <w:rPr>
          <w:rFonts w:ascii="Times New Roman" w:hAnsi="Times New Roman" w:cs="Times New Roman"/>
          <w:sz w:val="24"/>
          <w:szCs w:val="24"/>
        </w:rPr>
        <w:t xml:space="preserve">: 2019 </w:t>
      </w:r>
      <w:r w:rsidR="00B01284">
        <w:rPr>
          <w:rFonts w:ascii="Times New Roman" w:hAnsi="Times New Roman" w:cs="Times New Roman"/>
          <w:sz w:val="24"/>
          <w:szCs w:val="24"/>
        </w:rPr>
        <w:t xml:space="preserve">Budgeted </w:t>
      </w:r>
      <w:r w:rsidR="00C7461D">
        <w:rPr>
          <w:rFonts w:ascii="Times New Roman" w:hAnsi="Times New Roman" w:cs="Times New Roman"/>
          <w:sz w:val="24"/>
          <w:szCs w:val="24"/>
        </w:rPr>
        <w:t xml:space="preserve">Population Health </w:t>
      </w:r>
      <w:r w:rsidR="00B01284">
        <w:rPr>
          <w:rFonts w:ascii="Times New Roman" w:hAnsi="Times New Roman" w:cs="Times New Roman"/>
          <w:sz w:val="24"/>
          <w:szCs w:val="24"/>
        </w:rPr>
        <w:t>Investments</w:t>
      </w:r>
    </w:p>
    <w:p w14:paraId="562E9B63" w14:textId="5024A4B8" w:rsidR="00703419" w:rsidRPr="00703419" w:rsidRDefault="00703419" w:rsidP="004C770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5.6: Primary Care Spend Measurement </w:t>
      </w:r>
    </w:p>
    <w:p w14:paraId="100F6619" w14:textId="274D8D91" w:rsidR="00AF16B9" w:rsidRDefault="004C7703" w:rsidP="005F5E8F">
      <w:pPr>
        <w:pStyle w:val="Heading3"/>
      </w:pPr>
      <w:bookmarkStart w:id="6" w:name="_Hlk515915782"/>
      <w:r w:rsidRPr="00FA7C6A">
        <w:lastRenderedPageBreak/>
        <w:t xml:space="preserve">Part </w:t>
      </w:r>
      <w:r w:rsidR="00AF16B9">
        <w:t>I</w:t>
      </w:r>
      <w:r w:rsidRPr="00FA7C6A">
        <w:t xml:space="preserve">I.  </w:t>
      </w:r>
      <w:r>
        <w:t>Budget Guidance</w:t>
      </w:r>
    </w:p>
    <w:p w14:paraId="3816962E" w14:textId="663CAB2E" w:rsidR="004C7703" w:rsidRDefault="00AF16B9" w:rsidP="005F5E8F">
      <w:pPr>
        <w:pStyle w:val="Heading3"/>
      </w:pPr>
      <w:r>
        <w:t xml:space="preserve">Section 1. </w:t>
      </w:r>
      <w:r w:rsidR="00D10DD9">
        <w:t>Medicare</w:t>
      </w:r>
      <w:r>
        <w:t xml:space="preserve"> </w:t>
      </w:r>
      <w:r w:rsidR="007B4414">
        <w:t xml:space="preserve">Benchmark </w:t>
      </w:r>
      <w:r w:rsidR="007120F4">
        <w:t>Ceiling</w:t>
      </w:r>
      <w:r w:rsidR="007B4414">
        <w:t xml:space="preserve"> for 2019</w:t>
      </w:r>
    </w:p>
    <w:bookmarkEnd w:id="6"/>
    <w:p w14:paraId="569F3CEC" w14:textId="15D60DFC" w:rsidR="000D7958" w:rsidRPr="002B0B22" w:rsidRDefault="000D7958" w:rsidP="00844735">
      <w:pPr>
        <w:pStyle w:val="Heading3"/>
      </w:pPr>
      <w:r w:rsidRPr="002B0B22">
        <w:t xml:space="preserve">PART III: Primary Care Spend </w:t>
      </w:r>
    </w:p>
    <w:p w14:paraId="2C6F22E3" w14:textId="12DCBA12" w:rsidR="000D7958" w:rsidRPr="002B0B22" w:rsidRDefault="000D7958" w:rsidP="00844735">
      <w:pPr>
        <w:pStyle w:val="Heading3"/>
      </w:pPr>
      <w:r w:rsidRPr="002B0B22">
        <w:t xml:space="preserve">Section 1. Primary Care Spend by Payer </w:t>
      </w:r>
      <w:r w:rsidR="00844735" w:rsidRPr="002B0B22">
        <w:t>Claims Specification</w:t>
      </w:r>
    </w:p>
    <w:p w14:paraId="42A94B21" w14:textId="76E2460C" w:rsidR="00844735" w:rsidRDefault="00844735" w:rsidP="00844735">
      <w:pPr>
        <w:pStyle w:val="Heading3"/>
      </w:pPr>
      <w:r w:rsidRPr="002B0B22">
        <w:t>Section 2. Primary Care Spend by Payer Non-Claims Specification</w:t>
      </w:r>
    </w:p>
    <w:p w14:paraId="61A63A7C" w14:textId="411E9844" w:rsidR="00844735" w:rsidRDefault="00844735">
      <w:pPr>
        <w:rPr>
          <w:rFonts w:ascii="Times New Roman" w:eastAsia="Times New Roman" w:hAnsi="Times New Roman"/>
          <w:b/>
          <w:bCs/>
          <w:sz w:val="27"/>
          <w:szCs w:val="27"/>
        </w:rPr>
      </w:pPr>
      <w:r>
        <w:br w:type="page"/>
      </w:r>
    </w:p>
    <w:p w14:paraId="6A7545CA" w14:textId="1AC51DCB" w:rsidR="00AF16B9" w:rsidRDefault="00AF16B9" w:rsidP="00906D47">
      <w:pPr>
        <w:pStyle w:val="Heading1"/>
        <w:jc w:val="center"/>
      </w:pPr>
      <w:bookmarkStart w:id="7" w:name="_Hlk480382955"/>
      <w:r>
        <w:lastRenderedPageBreak/>
        <w:t>PART I. REPORTING REQUIREMENTS</w:t>
      </w:r>
    </w:p>
    <w:p w14:paraId="1714BAA8" w14:textId="77777777" w:rsidR="009D6F93" w:rsidRPr="009D6F93" w:rsidRDefault="009D6F93" w:rsidP="00E50140"/>
    <w:p w14:paraId="44D816D6" w14:textId="5D37D276" w:rsidR="00E92682" w:rsidRPr="00D04186" w:rsidRDefault="00AF16B9" w:rsidP="00E50140">
      <w:pPr>
        <w:pStyle w:val="Heading2"/>
      </w:pPr>
      <w:r>
        <w:t>Section</w:t>
      </w:r>
      <w:r w:rsidRPr="00D04186">
        <w:t xml:space="preserve"> </w:t>
      </w:r>
      <w:r w:rsidR="00E92682" w:rsidRPr="00D04186">
        <w:t>1: ACO INFORMATION</w:t>
      </w:r>
      <w:r w:rsidR="00BB35A8" w:rsidRPr="00D04186">
        <w:t xml:space="preserve"> AND BACKGROUND</w:t>
      </w:r>
    </w:p>
    <w:p w14:paraId="30F0FA24" w14:textId="77777777" w:rsidR="00F45BCE" w:rsidRPr="00A65CCB" w:rsidRDefault="00DB081D" w:rsidP="004804B3">
      <w:pPr>
        <w:pStyle w:val="ListParagraph"/>
        <w:numPr>
          <w:ilvl w:val="0"/>
          <w:numId w:val="6"/>
        </w:numPr>
        <w:rPr>
          <w:rFonts w:ascii="Times New Roman" w:eastAsia="Times New Roman" w:hAnsi="Times New Roman"/>
          <w:sz w:val="24"/>
          <w:szCs w:val="24"/>
        </w:rPr>
      </w:pPr>
      <w:r w:rsidRPr="00F45BCE">
        <w:rPr>
          <w:rFonts w:ascii="Times New Roman" w:eastAsia="Times New Roman" w:hAnsi="Times New Roman"/>
          <w:sz w:val="24"/>
          <w:szCs w:val="24"/>
        </w:rPr>
        <w:t>Provide an executive summary of</w:t>
      </w:r>
      <w:r w:rsidR="00356670" w:rsidRPr="00F45BCE">
        <w:rPr>
          <w:rFonts w:ascii="Times New Roman" w:eastAsia="Times New Roman" w:hAnsi="Times New Roman"/>
          <w:sz w:val="24"/>
          <w:szCs w:val="24"/>
        </w:rPr>
        <w:t xml:space="preserve"> the changes in the Accountable Care Organization</w:t>
      </w:r>
      <w:r w:rsidR="000F24C4" w:rsidRPr="00F45BCE">
        <w:rPr>
          <w:rFonts w:ascii="Times New Roman" w:eastAsia="Times New Roman" w:hAnsi="Times New Roman"/>
          <w:sz w:val="24"/>
          <w:szCs w:val="24"/>
        </w:rPr>
        <w:t>’s</w:t>
      </w:r>
      <w:r w:rsidR="00356670" w:rsidRPr="00F45BCE">
        <w:rPr>
          <w:rFonts w:ascii="Times New Roman" w:eastAsia="Times New Roman" w:hAnsi="Times New Roman"/>
          <w:sz w:val="24"/>
          <w:szCs w:val="24"/>
        </w:rPr>
        <w:t xml:space="preserve"> </w:t>
      </w:r>
      <w:r w:rsidR="00423336" w:rsidRPr="00F45BCE">
        <w:rPr>
          <w:rFonts w:ascii="Times New Roman" w:eastAsia="Times New Roman" w:hAnsi="Times New Roman"/>
          <w:sz w:val="24"/>
          <w:szCs w:val="24"/>
        </w:rPr>
        <w:t xml:space="preserve">(ACO) </w:t>
      </w:r>
      <w:r w:rsidR="00356670" w:rsidRPr="00F45BCE">
        <w:rPr>
          <w:rFonts w:ascii="Times New Roman" w:eastAsia="Times New Roman" w:hAnsi="Times New Roman"/>
          <w:sz w:val="24"/>
          <w:szCs w:val="24"/>
        </w:rPr>
        <w:t>budget submission from 201</w:t>
      </w:r>
      <w:r w:rsidR="000B38BD" w:rsidRPr="00F45BCE">
        <w:rPr>
          <w:rFonts w:ascii="Times New Roman" w:eastAsia="Times New Roman" w:hAnsi="Times New Roman"/>
          <w:sz w:val="24"/>
          <w:szCs w:val="24"/>
        </w:rPr>
        <w:t>8 to 2019</w:t>
      </w:r>
      <w:r w:rsidR="00356670" w:rsidRPr="00F45BCE">
        <w:rPr>
          <w:rFonts w:ascii="Times New Roman" w:eastAsia="Times New Roman" w:hAnsi="Times New Roman"/>
          <w:sz w:val="24"/>
          <w:szCs w:val="24"/>
        </w:rPr>
        <w:t>. Include major network changes</w:t>
      </w:r>
      <w:r w:rsidR="004372C3">
        <w:rPr>
          <w:rFonts w:ascii="Times New Roman" w:eastAsia="Times New Roman" w:hAnsi="Times New Roman"/>
          <w:sz w:val="24"/>
          <w:szCs w:val="24"/>
        </w:rPr>
        <w:t>;</w:t>
      </w:r>
      <w:r w:rsidR="00356670" w:rsidRPr="00F45BCE">
        <w:rPr>
          <w:rFonts w:ascii="Times New Roman" w:eastAsia="Times New Roman" w:hAnsi="Times New Roman"/>
          <w:sz w:val="24"/>
          <w:szCs w:val="24"/>
        </w:rPr>
        <w:t xml:space="preserve"> program highlights</w:t>
      </w:r>
      <w:r w:rsidR="004372C3">
        <w:rPr>
          <w:rFonts w:ascii="Times New Roman" w:eastAsia="Times New Roman" w:hAnsi="Times New Roman"/>
          <w:sz w:val="24"/>
          <w:szCs w:val="24"/>
        </w:rPr>
        <w:t>;</w:t>
      </w:r>
      <w:r w:rsidR="00356670" w:rsidRPr="00F45BCE">
        <w:rPr>
          <w:rFonts w:ascii="Times New Roman" w:eastAsia="Times New Roman" w:hAnsi="Times New Roman"/>
          <w:sz w:val="24"/>
          <w:szCs w:val="24"/>
        </w:rPr>
        <w:t xml:space="preserve"> programmatic, staffing, and operational changes</w:t>
      </w:r>
      <w:r w:rsidR="004372C3">
        <w:rPr>
          <w:rFonts w:ascii="Times New Roman" w:eastAsia="Times New Roman" w:hAnsi="Times New Roman"/>
          <w:sz w:val="24"/>
          <w:szCs w:val="24"/>
        </w:rPr>
        <w:t>;</w:t>
      </w:r>
      <w:r w:rsidR="00105EEE" w:rsidRPr="00F45BCE">
        <w:rPr>
          <w:rFonts w:ascii="Times New Roman" w:eastAsia="Times New Roman" w:hAnsi="Times New Roman"/>
          <w:sz w:val="24"/>
          <w:szCs w:val="24"/>
        </w:rPr>
        <w:t xml:space="preserve"> and any assumptions made to create the budget submission.</w:t>
      </w:r>
    </w:p>
    <w:p w14:paraId="27B90E39" w14:textId="144724AB" w:rsidR="00E92682" w:rsidRPr="00D04186" w:rsidRDefault="00AF16B9" w:rsidP="00E50140">
      <w:pPr>
        <w:pStyle w:val="Heading2"/>
      </w:pPr>
      <w:r>
        <w:t>Section</w:t>
      </w:r>
      <w:r w:rsidRPr="00D04186">
        <w:t xml:space="preserve"> </w:t>
      </w:r>
      <w:r w:rsidR="00E92682" w:rsidRPr="00D04186">
        <w:t>2: ACO PROVIDER NETWORK</w:t>
      </w:r>
    </w:p>
    <w:p w14:paraId="67509FB5" w14:textId="22F8F95A" w:rsidR="00F45BCE" w:rsidRPr="0020574E" w:rsidRDefault="00E92682" w:rsidP="004804B3">
      <w:pPr>
        <w:pStyle w:val="ListParagraph"/>
        <w:numPr>
          <w:ilvl w:val="0"/>
          <w:numId w:val="7"/>
        </w:numPr>
        <w:spacing w:afterLines="200" w:after="480"/>
        <w:rPr>
          <w:rFonts w:ascii="Times New Roman" w:hAnsi="Times New Roman" w:cs="Times New Roman"/>
          <w:sz w:val="24"/>
          <w:szCs w:val="24"/>
        </w:rPr>
      </w:pPr>
      <w:r w:rsidRPr="0020574E">
        <w:rPr>
          <w:rFonts w:ascii="Times New Roman" w:hAnsi="Times New Roman" w:cs="Times New Roman"/>
          <w:sz w:val="24"/>
          <w:szCs w:val="24"/>
        </w:rPr>
        <w:t xml:space="preserve">Provide, as an attachment, a completed </w:t>
      </w:r>
      <w:r w:rsidR="00E26EB2" w:rsidRPr="00D853CE">
        <w:rPr>
          <w:rFonts w:ascii="Times New Roman" w:hAnsi="Times New Roman" w:cs="Times New Roman"/>
          <w:b/>
          <w:sz w:val="24"/>
          <w:szCs w:val="24"/>
        </w:rPr>
        <w:t xml:space="preserve">2019 </w:t>
      </w:r>
      <w:r w:rsidRPr="00D853CE">
        <w:rPr>
          <w:rFonts w:ascii="Times New Roman" w:hAnsi="Times New Roman" w:cs="Times New Roman"/>
          <w:b/>
          <w:sz w:val="24"/>
          <w:szCs w:val="24"/>
        </w:rPr>
        <w:t>ACO Provider Network Template</w:t>
      </w:r>
      <w:r w:rsidR="00EA3A80" w:rsidRPr="00D853CE">
        <w:rPr>
          <w:rFonts w:ascii="Times New Roman" w:hAnsi="Times New Roman" w:cs="Times New Roman"/>
          <w:b/>
          <w:sz w:val="24"/>
          <w:szCs w:val="24"/>
        </w:rPr>
        <w:t xml:space="preserve"> (Appendix</w:t>
      </w:r>
      <w:r w:rsidR="0020574E" w:rsidRPr="00D853CE">
        <w:rPr>
          <w:rFonts w:ascii="Times New Roman" w:hAnsi="Times New Roman" w:cs="Times New Roman"/>
          <w:b/>
          <w:sz w:val="24"/>
          <w:szCs w:val="24"/>
        </w:rPr>
        <w:t xml:space="preserve"> 2</w:t>
      </w:r>
      <w:r w:rsidR="00EA3A80" w:rsidRPr="00D853CE">
        <w:rPr>
          <w:rFonts w:ascii="Times New Roman" w:hAnsi="Times New Roman" w:cs="Times New Roman"/>
          <w:b/>
          <w:sz w:val="24"/>
          <w:szCs w:val="24"/>
        </w:rPr>
        <w:t>.1)</w:t>
      </w:r>
      <w:r w:rsidR="001F1369" w:rsidRPr="00E95009">
        <w:rPr>
          <w:rFonts w:ascii="Times New Roman" w:hAnsi="Times New Roman" w:cs="Times New Roman"/>
          <w:sz w:val="24"/>
          <w:szCs w:val="24"/>
        </w:rPr>
        <w:t>.</w:t>
      </w:r>
    </w:p>
    <w:p w14:paraId="59F62430" w14:textId="77777777" w:rsidR="0020574E" w:rsidRPr="0020574E" w:rsidRDefault="0020574E" w:rsidP="0020574E">
      <w:pPr>
        <w:pStyle w:val="ListParagraph"/>
        <w:spacing w:afterLines="200" w:after="480"/>
        <w:ind w:left="1440"/>
        <w:rPr>
          <w:rFonts w:ascii="Times New Roman" w:hAnsi="Times New Roman" w:cs="Times New Roman"/>
          <w:sz w:val="24"/>
          <w:szCs w:val="24"/>
        </w:rPr>
      </w:pPr>
    </w:p>
    <w:p w14:paraId="1B0BD014" w14:textId="62F46D24" w:rsidR="00F45BCE" w:rsidRDefault="008E4CC0" w:rsidP="004804B3">
      <w:pPr>
        <w:pStyle w:val="ListParagraph"/>
        <w:numPr>
          <w:ilvl w:val="0"/>
          <w:numId w:val="7"/>
        </w:numPr>
        <w:spacing w:afterLines="200" w:after="480"/>
        <w:rPr>
          <w:rFonts w:ascii="Times New Roman" w:hAnsi="Times New Roman" w:cs="Times New Roman"/>
          <w:sz w:val="24"/>
          <w:szCs w:val="24"/>
        </w:rPr>
      </w:pPr>
      <w:r w:rsidRPr="00A65CCB">
        <w:rPr>
          <w:rFonts w:ascii="Times New Roman" w:hAnsi="Times New Roman" w:cs="Times New Roman"/>
          <w:sz w:val="24"/>
          <w:szCs w:val="24"/>
        </w:rPr>
        <w:t xml:space="preserve">Provide a </w:t>
      </w:r>
      <w:r w:rsidR="003B2136" w:rsidRPr="00A65CCB">
        <w:rPr>
          <w:rFonts w:ascii="Times New Roman" w:hAnsi="Times New Roman" w:cs="Times New Roman"/>
          <w:sz w:val="24"/>
          <w:szCs w:val="24"/>
        </w:rPr>
        <w:t xml:space="preserve">written </w:t>
      </w:r>
      <w:r w:rsidRPr="00A65CCB">
        <w:rPr>
          <w:rFonts w:ascii="Times New Roman" w:hAnsi="Times New Roman" w:cs="Times New Roman"/>
          <w:sz w:val="24"/>
          <w:szCs w:val="24"/>
        </w:rPr>
        <w:t>summary analysis of</w:t>
      </w:r>
      <w:r w:rsidR="00BF69F0" w:rsidRPr="00A65CCB">
        <w:rPr>
          <w:rFonts w:ascii="Times New Roman" w:hAnsi="Times New Roman" w:cs="Times New Roman"/>
          <w:sz w:val="24"/>
          <w:szCs w:val="24"/>
        </w:rPr>
        <w:t xml:space="preserve"> the </w:t>
      </w:r>
      <w:r w:rsidR="00E26EB2" w:rsidRPr="00E26EB2">
        <w:rPr>
          <w:rFonts w:ascii="Times New Roman" w:hAnsi="Times New Roman" w:cs="Times New Roman"/>
          <w:b/>
          <w:sz w:val="24"/>
          <w:szCs w:val="24"/>
        </w:rPr>
        <w:t>2019</w:t>
      </w:r>
      <w:r w:rsidR="00E26EB2">
        <w:rPr>
          <w:rFonts w:ascii="Times New Roman" w:hAnsi="Times New Roman" w:cs="Times New Roman"/>
          <w:sz w:val="24"/>
          <w:szCs w:val="24"/>
        </w:rPr>
        <w:t xml:space="preserve"> </w:t>
      </w:r>
      <w:r w:rsidR="00BF69F0" w:rsidRPr="00A65CCB">
        <w:rPr>
          <w:rFonts w:ascii="Times New Roman" w:hAnsi="Times New Roman" w:cs="Times New Roman"/>
          <w:b/>
          <w:sz w:val="24"/>
          <w:szCs w:val="24"/>
        </w:rPr>
        <w:t>ACO Provider Network Template</w:t>
      </w:r>
      <w:r w:rsidR="00AE55B4">
        <w:rPr>
          <w:rFonts w:ascii="Times New Roman" w:hAnsi="Times New Roman" w:cs="Times New Roman"/>
          <w:b/>
          <w:sz w:val="24"/>
          <w:szCs w:val="24"/>
        </w:rPr>
        <w:t xml:space="preserve"> (Appendix 2.1)</w:t>
      </w:r>
      <w:r w:rsidRPr="00A65CCB">
        <w:rPr>
          <w:rFonts w:ascii="Times New Roman" w:hAnsi="Times New Roman" w:cs="Times New Roman"/>
          <w:sz w:val="24"/>
          <w:szCs w:val="24"/>
        </w:rPr>
        <w:t>, highlighting any changes</w:t>
      </w:r>
      <w:r w:rsidR="0028298B" w:rsidRPr="00A65CCB">
        <w:rPr>
          <w:rFonts w:ascii="Times New Roman" w:hAnsi="Times New Roman" w:cs="Times New Roman"/>
          <w:sz w:val="24"/>
          <w:szCs w:val="24"/>
        </w:rPr>
        <w:t xml:space="preserve"> from 2018 </w:t>
      </w:r>
      <w:r w:rsidR="003D6FD5" w:rsidRPr="00A65CCB">
        <w:rPr>
          <w:rFonts w:ascii="Times New Roman" w:hAnsi="Times New Roman" w:cs="Times New Roman"/>
          <w:sz w:val="24"/>
          <w:szCs w:val="24"/>
        </w:rPr>
        <w:t>to</w:t>
      </w:r>
      <w:r w:rsidR="0028298B" w:rsidRPr="00A65CCB">
        <w:rPr>
          <w:rFonts w:ascii="Times New Roman" w:hAnsi="Times New Roman" w:cs="Times New Roman"/>
          <w:sz w:val="24"/>
          <w:szCs w:val="24"/>
        </w:rPr>
        <w:t xml:space="preserve"> 2019</w:t>
      </w:r>
      <w:r w:rsidR="00B01284" w:rsidRPr="00A65CCB">
        <w:rPr>
          <w:rFonts w:ascii="Times New Roman" w:hAnsi="Times New Roman" w:cs="Times New Roman"/>
          <w:sz w:val="24"/>
          <w:szCs w:val="24"/>
        </w:rPr>
        <w:t>, including chang</w:t>
      </w:r>
      <w:r w:rsidR="00FE55D9" w:rsidRPr="00A65CCB">
        <w:rPr>
          <w:rFonts w:ascii="Times New Roman" w:hAnsi="Times New Roman" w:cs="Times New Roman"/>
          <w:sz w:val="24"/>
          <w:szCs w:val="24"/>
        </w:rPr>
        <w:t>es in network by Health Service Are</w:t>
      </w:r>
      <w:r w:rsidR="00B01284" w:rsidRPr="00A65CCB">
        <w:rPr>
          <w:rFonts w:ascii="Times New Roman" w:hAnsi="Times New Roman" w:cs="Times New Roman"/>
          <w:sz w:val="24"/>
          <w:szCs w:val="24"/>
        </w:rPr>
        <w:t>a.</w:t>
      </w:r>
    </w:p>
    <w:p w14:paraId="22CB3CFD" w14:textId="77777777" w:rsidR="006A68DF" w:rsidRPr="006A68DF" w:rsidRDefault="006A68DF" w:rsidP="006A68DF">
      <w:pPr>
        <w:pStyle w:val="ListParagraph"/>
        <w:rPr>
          <w:rFonts w:ascii="Times New Roman" w:hAnsi="Times New Roman" w:cs="Times New Roman"/>
          <w:sz w:val="24"/>
          <w:szCs w:val="24"/>
        </w:rPr>
      </w:pPr>
    </w:p>
    <w:p w14:paraId="560BEE8B" w14:textId="342B7BCD" w:rsidR="006A68DF" w:rsidRPr="00A65CCB" w:rsidRDefault="003F177F" w:rsidP="004804B3">
      <w:pPr>
        <w:pStyle w:val="ListParagraph"/>
        <w:numPr>
          <w:ilvl w:val="0"/>
          <w:numId w:val="7"/>
        </w:numPr>
        <w:spacing w:afterLines="200" w:after="480"/>
        <w:rPr>
          <w:rFonts w:ascii="Times New Roman" w:hAnsi="Times New Roman" w:cs="Times New Roman"/>
          <w:sz w:val="24"/>
          <w:szCs w:val="24"/>
        </w:rPr>
      </w:pPr>
      <w:r>
        <w:rPr>
          <w:rFonts w:ascii="Times New Roman" w:hAnsi="Times New Roman" w:cs="Times New Roman"/>
          <w:sz w:val="24"/>
          <w:szCs w:val="24"/>
        </w:rPr>
        <w:t xml:space="preserve">Submit, as an Excel spreadsheet (printout not required), your provider list submitted to Medicare for </w:t>
      </w:r>
      <w:r w:rsidR="00BD0B2A">
        <w:rPr>
          <w:rFonts w:ascii="Times New Roman" w:hAnsi="Times New Roman" w:cs="Times New Roman"/>
          <w:sz w:val="24"/>
          <w:szCs w:val="24"/>
        </w:rPr>
        <w:t xml:space="preserve">your </w:t>
      </w:r>
      <w:r>
        <w:rPr>
          <w:rFonts w:ascii="Times New Roman" w:hAnsi="Times New Roman" w:cs="Times New Roman"/>
          <w:sz w:val="24"/>
          <w:szCs w:val="24"/>
        </w:rPr>
        <w:t>2019</w:t>
      </w:r>
      <w:r w:rsidR="00BD0B2A">
        <w:rPr>
          <w:rFonts w:ascii="Times New Roman" w:hAnsi="Times New Roman" w:cs="Times New Roman"/>
          <w:sz w:val="24"/>
          <w:szCs w:val="24"/>
        </w:rPr>
        <w:t xml:space="preserve"> Next Generation program</w:t>
      </w:r>
      <w:r>
        <w:rPr>
          <w:rFonts w:ascii="Times New Roman" w:hAnsi="Times New Roman" w:cs="Times New Roman"/>
          <w:sz w:val="24"/>
          <w:szCs w:val="24"/>
        </w:rPr>
        <w:t>.</w:t>
      </w:r>
    </w:p>
    <w:p w14:paraId="2F3A4344" w14:textId="77777777" w:rsidR="00F45BCE" w:rsidRPr="00A65CCB" w:rsidRDefault="00F45BCE" w:rsidP="00A65CCB">
      <w:pPr>
        <w:pStyle w:val="ListParagraph"/>
        <w:spacing w:afterLines="200" w:after="480"/>
        <w:rPr>
          <w:rFonts w:ascii="Times New Roman" w:hAnsi="Times New Roman" w:cs="Times New Roman"/>
          <w:sz w:val="24"/>
          <w:szCs w:val="24"/>
        </w:rPr>
      </w:pPr>
    </w:p>
    <w:p w14:paraId="693363CA" w14:textId="0FC7F988" w:rsidR="00F45BCE" w:rsidRPr="00A65CCB" w:rsidRDefault="007C0578" w:rsidP="004804B3">
      <w:pPr>
        <w:pStyle w:val="ListParagraph"/>
        <w:numPr>
          <w:ilvl w:val="0"/>
          <w:numId w:val="7"/>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All-Payer ACO Model Agreement contains Medicare and all-payer scale targets</w:t>
      </w:r>
      <w:r w:rsidR="000B7341">
        <w:rPr>
          <w:rFonts w:ascii="Times New Roman" w:hAnsi="Times New Roman" w:cs="Times New Roman"/>
          <w:sz w:val="24"/>
          <w:szCs w:val="24"/>
        </w:rPr>
        <w:t xml:space="preserve">. </w:t>
      </w:r>
      <w:r w:rsidRPr="00A65CCB">
        <w:rPr>
          <w:rFonts w:ascii="Times New Roman" w:hAnsi="Times New Roman" w:cs="Times New Roman"/>
          <w:sz w:val="24"/>
          <w:szCs w:val="24"/>
        </w:rPr>
        <w:t xml:space="preserve">The State </w:t>
      </w:r>
      <w:r w:rsidR="0072452B">
        <w:rPr>
          <w:rFonts w:ascii="Times New Roman" w:hAnsi="Times New Roman" w:cs="Times New Roman"/>
          <w:sz w:val="24"/>
          <w:szCs w:val="24"/>
        </w:rPr>
        <w:t>will need to</w:t>
      </w:r>
      <w:r w:rsidR="0072452B" w:rsidRPr="00A65CCB">
        <w:rPr>
          <w:rFonts w:ascii="Times New Roman" w:hAnsi="Times New Roman" w:cs="Times New Roman"/>
          <w:sz w:val="24"/>
          <w:szCs w:val="24"/>
        </w:rPr>
        <w:t xml:space="preserve"> </w:t>
      </w:r>
      <w:r w:rsidRPr="00A65CCB">
        <w:rPr>
          <w:rFonts w:ascii="Times New Roman" w:hAnsi="Times New Roman" w:cs="Times New Roman"/>
          <w:sz w:val="24"/>
          <w:szCs w:val="24"/>
        </w:rPr>
        <w:t xml:space="preserve">evaluate </w:t>
      </w:r>
      <w:r w:rsidR="0072452B">
        <w:rPr>
          <w:rFonts w:ascii="Times New Roman" w:hAnsi="Times New Roman" w:cs="Times New Roman"/>
          <w:sz w:val="24"/>
          <w:szCs w:val="24"/>
        </w:rPr>
        <w:t xml:space="preserve">an ACO’s </w:t>
      </w:r>
      <w:r w:rsidR="009C3AEE">
        <w:rPr>
          <w:rFonts w:ascii="Times New Roman" w:hAnsi="Times New Roman" w:cs="Times New Roman"/>
          <w:sz w:val="24"/>
          <w:szCs w:val="24"/>
        </w:rPr>
        <w:t xml:space="preserve">payer </w:t>
      </w:r>
      <w:r w:rsidRPr="00A65CCB">
        <w:rPr>
          <w:rFonts w:ascii="Times New Roman" w:hAnsi="Times New Roman" w:cs="Times New Roman"/>
          <w:sz w:val="24"/>
          <w:szCs w:val="24"/>
        </w:rPr>
        <w:t xml:space="preserve">contracts to determine if they </w:t>
      </w:r>
      <w:r w:rsidR="0072452B">
        <w:rPr>
          <w:rFonts w:ascii="Times New Roman" w:hAnsi="Times New Roman" w:cs="Times New Roman"/>
          <w:sz w:val="24"/>
          <w:szCs w:val="24"/>
        </w:rPr>
        <w:t>meet</w:t>
      </w:r>
      <w:r w:rsidR="00564D07">
        <w:rPr>
          <w:rFonts w:ascii="Times New Roman" w:hAnsi="Times New Roman" w:cs="Times New Roman"/>
          <w:sz w:val="24"/>
          <w:szCs w:val="24"/>
        </w:rPr>
        <w:t xml:space="preserve"> the</w:t>
      </w:r>
      <w:r w:rsidR="0072452B">
        <w:rPr>
          <w:rFonts w:ascii="Times New Roman" w:hAnsi="Times New Roman" w:cs="Times New Roman"/>
          <w:sz w:val="24"/>
          <w:szCs w:val="24"/>
        </w:rPr>
        <w:t xml:space="preserve"> definition of </w:t>
      </w:r>
      <w:r w:rsidRPr="00A65CCB">
        <w:rPr>
          <w:rFonts w:ascii="Times New Roman" w:hAnsi="Times New Roman" w:cs="Times New Roman"/>
          <w:sz w:val="24"/>
          <w:szCs w:val="24"/>
        </w:rPr>
        <w:t xml:space="preserve">a </w:t>
      </w:r>
      <w:r w:rsidR="00512585">
        <w:rPr>
          <w:rFonts w:ascii="Times New Roman" w:hAnsi="Times New Roman" w:cs="Times New Roman"/>
          <w:sz w:val="24"/>
          <w:szCs w:val="24"/>
        </w:rPr>
        <w:t>“</w:t>
      </w:r>
      <w:r w:rsidRPr="001F1369">
        <w:rPr>
          <w:rFonts w:ascii="Times New Roman" w:hAnsi="Times New Roman" w:cs="Times New Roman"/>
          <w:iCs/>
          <w:sz w:val="24"/>
          <w:szCs w:val="24"/>
        </w:rPr>
        <w:t>Scale Target ACO</w:t>
      </w:r>
      <w:r w:rsidR="00AF5B3C" w:rsidRPr="001F1369">
        <w:rPr>
          <w:rFonts w:ascii="Times New Roman" w:hAnsi="Times New Roman" w:cs="Times New Roman"/>
          <w:iCs/>
          <w:sz w:val="24"/>
          <w:szCs w:val="24"/>
        </w:rPr>
        <w:t xml:space="preserve"> Initiative</w:t>
      </w:r>
      <w:r w:rsidRPr="001F1369">
        <w:rPr>
          <w:rFonts w:ascii="Times New Roman" w:hAnsi="Times New Roman" w:cs="Times New Roman"/>
          <w:sz w:val="24"/>
          <w:szCs w:val="24"/>
        </w:rPr>
        <w:t>.</w:t>
      </w:r>
      <w:r w:rsidR="00512585" w:rsidRPr="001F1369">
        <w:rPr>
          <w:rFonts w:ascii="Times New Roman" w:hAnsi="Times New Roman" w:cs="Times New Roman"/>
          <w:sz w:val="24"/>
          <w:szCs w:val="24"/>
        </w:rPr>
        <w:t>”</w:t>
      </w:r>
      <w:r w:rsidR="0072452B" w:rsidRPr="001F1369">
        <w:rPr>
          <w:rStyle w:val="FootnoteReference"/>
          <w:rFonts w:ascii="Times New Roman" w:hAnsi="Times New Roman" w:cs="Times New Roman"/>
          <w:sz w:val="24"/>
          <w:szCs w:val="24"/>
        </w:rPr>
        <w:footnoteReference w:id="1"/>
      </w:r>
      <w:r w:rsidR="00A02194">
        <w:rPr>
          <w:rFonts w:ascii="Times New Roman" w:hAnsi="Times New Roman" w:cs="Times New Roman"/>
          <w:sz w:val="24"/>
          <w:szCs w:val="24"/>
        </w:rPr>
        <w:t xml:space="preserve"> </w:t>
      </w:r>
      <w:r w:rsidRPr="00A65CCB">
        <w:rPr>
          <w:rFonts w:ascii="Times New Roman" w:hAnsi="Times New Roman" w:cs="Times New Roman"/>
          <w:sz w:val="24"/>
          <w:szCs w:val="24"/>
        </w:rPr>
        <w:t>There are several areas that may impact scale, including payer participation (including self-insured plans), provider participation, and attribution methodology.</w:t>
      </w:r>
      <w:r w:rsidR="00A02194">
        <w:rPr>
          <w:rFonts w:ascii="Times New Roman" w:hAnsi="Times New Roman" w:cs="Times New Roman"/>
          <w:sz w:val="24"/>
          <w:szCs w:val="24"/>
        </w:rPr>
        <w:t xml:space="preserve"> </w:t>
      </w:r>
      <w:r w:rsidRPr="00A65CCB">
        <w:rPr>
          <w:rFonts w:ascii="Times New Roman" w:hAnsi="Times New Roman" w:cs="Times New Roman"/>
          <w:sz w:val="24"/>
          <w:szCs w:val="24"/>
        </w:rPr>
        <w:t>Please provide a written plan on</w:t>
      </w:r>
      <w:r w:rsidR="0072452B">
        <w:rPr>
          <w:rFonts w:ascii="Times New Roman" w:hAnsi="Times New Roman" w:cs="Times New Roman"/>
          <w:sz w:val="24"/>
          <w:szCs w:val="24"/>
        </w:rPr>
        <w:t xml:space="preserve"> </w:t>
      </w:r>
      <w:r w:rsidR="00512585">
        <w:rPr>
          <w:rFonts w:ascii="Times New Roman" w:hAnsi="Times New Roman" w:cs="Times New Roman"/>
          <w:sz w:val="24"/>
          <w:szCs w:val="24"/>
        </w:rPr>
        <w:t>the</w:t>
      </w:r>
      <w:r w:rsidR="0072452B">
        <w:rPr>
          <w:rFonts w:ascii="Times New Roman" w:hAnsi="Times New Roman" w:cs="Times New Roman"/>
          <w:sz w:val="24"/>
          <w:szCs w:val="24"/>
        </w:rPr>
        <w:t xml:space="preserve"> ACO’s</w:t>
      </w:r>
      <w:r w:rsidRPr="00A65CCB">
        <w:rPr>
          <w:rFonts w:ascii="Times New Roman" w:hAnsi="Times New Roman" w:cs="Times New Roman"/>
          <w:sz w:val="24"/>
          <w:szCs w:val="24"/>
        </w:rPr>
        <w:t xml:space="preserve"> strategies during the remaining years of the Agreement to work with the State and other stakeholders to increase payer participation, increase provider participation, and develop changes to attribution methodology, with the goal of maximizing scale and achieving scale targets.</w:t>
      </w:r>
      <w:r w:rsidR="00A02194">
        <w:rPr>
          <w:rFonts w:ascii="Times New Roman" w:hAnsi="Times New Roman" w:cs="Times New Roman"/>
          <w:sz w:val="24"/>
          <w:szCs w:val="24"/>
        </w:rPr>
        <w:t xml:space="preserve"> </w:t>
      </w:r>
      <w:r w:rsidR="006121EB" w:rsidRPr="00A65CCB">
        <w:rPr>
          <w:rFonts w:ascii="Times New Roman" w:hAnsi="Times New Roman" w:cs="Times New Roman"/>
          <w:sz w:val="24"/>
          <w:szCs w:val="24"/>
        </w:rPr>
        <w:t xml:space="preserve">Please provide </w:t>
      </w:r>
      <w:r w:rsidR="00512585">
        <w:rPr>
          <w:rFonts w:ascii="Times New Roman" w:hAnsi="Times New Roman" w:cs="Times New Roman"/>
          <w:sz w:val="24"/>
          <w:szCs w:val="24"/>
        </w:rPr>
        <w:t>the</w:t>
      </w:r>
      <w:r w:rsidR="00564D07">
        <w:rPr>
          <w:rFonts w:ascii="Times New Roman" w:hAnsi="Times New Roman" w:cs="Times New Roman"/>
          <w:sz w:val="24"/>
          <w:szCs w:val="24"/>
        </w:rPr>
        <w:t xml:space="preserve"> ACO’s </w:t>
      </w:r>
      <w:r w:rsidR="006121EB" w:rsidRPr="00A65CCB">
        <w:rPr>
          <w:rFonts w:ascii="Times New Roman" w:hAnsi="Times New Roman" w:cs="Times New Roman"/>
          <w:sz w:val="24"/>
          <w:szCs w:val="24"/>
        </w:rPr>
        <w:t>targets by year for both provider</w:t>
      </w:r>
      <w:r w:rsidR="0072452B">
        <w:rPr>
          <w:rFonts w:ascii="Times New Roman" w:hAnsi="Times New Roman" w:cs="Times New Roman"/>
          <w:sz w:val="24"/>
          <w:szCs w:val="24"/>
        </w:rPr>
        <w:t>s</w:t>
      </w:r>
      <w:r w:rsidR="006121EB" w:rsidRPr="00A65CCB">
        <w:rPr>
          <w:rFonts w:ascii="Times New Roman" w:hAnsi="Times New Roman" w:cs="Times New Roman"/>
          <w:sz w:val="24"/>
          <w:szCs w:val="24"/>
        </w:rPr>
        <w:t xml:space="preserve"> and attributed li</w:t>
      </w:r>
      <w:r w:rsidR="0072452B">
        <w:rPr>
          <w:rFonts w:ascii="Times New Roman" w:hAnsi="Times New Roman" w:cs="Times New Roman"/>
          <w:sz w:val="24"/>
          <w:szCs w:val="24"/>
        </w:rPr>
        <w:t>v</w:t>
      </w:r>
      <w:r w:rsidR="006121EB" w:rsidRPr="00A65CCB">
        <w:rPr>
          <w:rFonts w:ascii="Times New Roman" w:hAnsi="Times New Roman" w:cs="Times New Roman"/>
          <w:sz w:val="24"/>
          <w:szCs w:val="24"/>
        </w:rPr>
        <w:t>e</w:t>
      </w:r>
      <w:r w:rsidR="0072452B">
        <w:rPr>
          <w:rFonts w:ascii="Times New Roman" w:hAnsi="Times New Roman" w:cs="Times New Roman"/>
          <w:sz w:val="24"/>
          <w:szCs w:val="24"/>
        </w:rPr>
        <w:t>s,</w:t>
      </w:r>
      <w:r w:rsidR="006121EB" w:rsidRPr="00A65CCB">
        <w:rPr>
          <w:rFonts w:ascii="Times New Roman" w:hAnsi="Times New Roman" w:cs="Times New Roman"/>
          <w:sz w:val="24"/>
          <w:szCs w:val="24"/>
        </w:rPr>
        <w:t xml:space="preserve"> by Health Service Area.</w:t>
      </w:r>
      <w:r w:rsidRPr="00A65CCB">
        <w:rPr>
          <w:rFonts w:ascii="Times New Roman" w:hAnsi="Times New Roman" w:cs="Times New Roman"/>
          <w:sz w:val="24"/>
          <w:szCs w:val="24"/>
        </w:rPr>
        <w:t xml:space="preserve"> </w:t>
      </w:r>
    </w:p>
    <w:p w14:paraId="73881F49" w14:textId="77777777" w:rsidR="00F45BCE" w:rsidRPr="00A65CCB" w:rsidRDefault="00F45BCE" w:rsidP="00A65CCB">
      <w:pPr>
        <w:pStyle w:val="ListParagraph"/>
        <w:spacing w:afterLines="200" w:after="480"/>
        <w:rPr>
          <w:rFonts w:ascii="Times New Roman" w:hAnsi="Times New Roman" w:cs="Times New Roman"/>
          <w:sz w:val="24"/>
          <w:szCs w:val="24"/>
        </w:rPr>
      </w:pPr>
    </w:p>
    <w:p w14:paraId="48252ABB" w14:textId="516D40D8" w:rsidR="00F45BCE" w:rsidRPr="00A65CCB" w:rsidRDefault="00E92682" w:rsidP="004804B3">
      <w:pPr>
        <w:pStyle w:val="ListParagraph"/>
        <w:numPr>
          <w:ilvl w:val="0"/>
          <w:numId w:val="7"/>
        </w:numPr>
        <w:spacing w:afterLines="200" w:after="480"/>
        <w:rPr>
          <w:rFonts w:ascii="Times New Roman" w:hAnsi="Times New Roman" w:cs="Times New Roman"/>
          <w:sz w:val="24"/>
          <w:szCs w:val="24"/>
        </w:rPr>
      </w:pPr>
      <w:r w:rsidRPr="00A65CCB">
        <w:rPr>
          <w:rFonts w:ascii="Times New Roman" w:hAnsi="Times New Roman" w:cs="Times New Roman"/>
          <w:sz w:val="24"/>
          <w:szCs w:val="24"/>
        </w:rPr>
        <w:t>Provide, as an attachment, a completed</w:t>
      </w:r>
      <w:r w:rsidR="00A02194">
        <w:rPr>
          <w:rFonts w:ascii="Times New Roman" w:hAnsi="Times New Roman" w:cs="Times New Roman"/>
          <w:sz w:val="24"/>
          <w:szCs w:val="24"/>
        </w:rPr>
        <w:t xml:space="preserve"> </w:t>
      </w:r>
      <w:r w:rsidR="00E30D41" w:rsidRPr="00E30D41">
        <w:rPr>
          <w:rFonts w:ascii="Times New Roman" w:hAnsi="Times New Roman" w:cs="Times New Roman"/>
          <w:b/>
          <w:sz w:val="24"/>
          <w:szCs w:val="24"/>
        </w:rPr>
        <w:t xml:space="preserve">2019 </w:t>
      </w:r>
      <w:r w:rsidRPr="00A65CCB">
        <w:rPr>
          <w:rFonts w:ascii="Times New Roman" w:hAnsi="Times New Roman" w:cs="Times New Roman"/>
          <w:b/>
          <w:sz w:val="24"/>
          <w:szCs w:val="24"/>
        </w:rPr>
        <w:t>Summary ACO Provider Network Template</w:t>
      </w:r>
      <w:r w:rsidR="00A02194">
        <w:rPr>
          <w:rFonts w:ascii="Times New Roman" w:hAnsi="Times New Roman" w:cs="Times New Roman"/>
          <w:b/>
          <w:sz w:val="24"/>
          <w:szCs w:val="24"/>
        </w:rPr>
        <w:t xml:space="preserve"> (Appendix 2.2)</w:t>
      </w:r>
      <w:r w:rsidR="00564D07">
        <w:rPr>
          <w:rFonts w:ascii="Times New Roman" w:hAnsi="Times New Roman" w:cs="Times New Roman"/>
          <w:sz w:val="24"/>
          <w:szCs w:val="24"/>
        </w:rPr>
        <w:t>,</w:t>
      </w:r>
      <w:r w:rsidRPr="00A65CCB">
        <w:rPr>
          <w:rFonts w:ascii="Times New Roman" w:hAnsi="Times New Roman" w:cs="Times New Roman"/>
          <w:b/>
          <w:sz w:val="24"/>
          <w:szCs w:val="24"/>
        </w:rPr>
        <w:t xml:space="preserve"> </w:t>
      </w:r>
      <w:r w:rsidRPr="00A65CCB">
        <w:rPr>
          <w:rFonts w:ascii="Times New Roman" w:hAnsi="Times New Roman" w:cs="Times New Roman"/>
          <w:sz w:val="24"/>
          <w:szCs w:val="24"/>
        </w:rPr>
        <w:t>which will include</w:t>
      </w:r>
      <w:r w:rsidR="00564D07">
        <w:rPr>
          <w:rFonts w:ascii="Times New Roman" w:hAnsi="Times New Roman" w:cs="Times New Roman"/>
          <w:sz w:val="24"/>
          <w:szCs w:val="24"/>
        </w:rPr>
        <w:t>, by H</w:t>
      </w:r>
      <w:r w:rsidR="005E3464">
        <w:rPr>
          <w:rFonts w:ascii="Times New Roman" w:hAnsi="Times New Roman" w:cs="Times New Roman"/>
          <w:sz w:val="24"/>
          <w:szCs w:val="24"/>
        </w:rPr>
        <w:t>ealth Service Area</w:t>
      </w:r>
      <w:r w:rsidRPr="00A65CCB">
        <w:rPr>
          <w:rFonts w:ascii="Times New Roman" w:hAnsi="Times New Roman" w:cs="Times New Roman"/>
          <w:sz w:val="24"/>
          <w:szCs w:val="24"/>
        </w:rPr>
        <w:t>:</w:t>
      </w:r>
    </w:p>
    <w:p w14:paraId="54E52179" w14:textId="77777777" w:rsidR="00564D07" w:rsidRDefault="00E92682" w:rsidP="004804B3">
      <w:pPr>
        <w:pStyle w:val="ListParagraph"/>
        <w:numPr>
          <w:ilvl w:val="0"/>
          <w:numId w:val="13"/>
        </w:numPr>
        <w:spacing w:afterLines="200" w:after="480"/>
        <w:rPr>
          <w:rFonts w:ascii="Times New Roman" w:hAnsi="Times New Roman" w:cs="Times New Roman"/>
          <w:sz w:val="24"/>
          <w:szCs w:val="24"/>
        </w:rPr>
      </w:pPr>
      <w:r w:rsidRPr="00A65CCB">
        <w:rPr>
          <w:rFonts w:ascii="Times New Roman" w:hAnsi="Times New Roman" w:cs="Times New Roman"/>
          <w:sz w:val="24"/>
          <w:szCs w:val="24"/>
        </w:rPr>
        <w:t>Count of providers by provider type and specialty</w:t>
      </w:r>
      <w:r w:rsidR="00564D07">
        <w:rPr>
          <w:rFonts w:ascii="Times New Roman" w:hAnsi="Times New Roman" w:cs="Times New Roman"/>
          <w:sz w:val="24"/>
          <w:szCs w:val="24"/>
        </w:rPr>
        <w:t>; and</w:t>
      </w:r>
    </w:p>
    <w:p w14:paraId="7541FB1E" w14:textId="77777777" w:rsidR="00564D07" w:rsidRPr="00A65CCB" w:rsidRDefault="00564D07" w:rsidP="004804B3">
      <w:pPr>
        <w:pStyle w:val="ListParagraph"/>
        <w:numPr>
          <w:ilvl w:val="0"/>
          <w:numId w:val="13"/>
        </w:numPr>
        <w:spacing w:afterLines="200" w:after="480"/>
        <w:rPr>
          <w:rFonts w:ascii="Times New Roman" w:hAnsi="Times New Roman" w:cs="Times New Roman"/>
          <w:sz w:val="24"/>
          <w:szCs w:val="24"/>
        </w:rPr>
      </w:pPr>
      <w:r>
        <w:rPr>
          <w:rFonts w:ascii="Times New Roman" w:hAnsi="Times New Roman" w:cs="Times New Roman"/>
          <w:sz w:val="24"/>
          <w:szCs w:val="24"/>
        </w:rPr>
        <w:t xml:space="preserve">Count of Enrollees. </w:t>
      </w:r>
    </w:p>
    <w:p w14:paraId="7F4B97C5" w14:textId="77777777" w:rsidR="00F45BCE" w:rsidRPr="00A65CCB" w:rsidRDefault="00F45BCE" w:rsidP="00A65CCB">
      <w:pPr>
        <w:pStyle w:val="ListParagraph"/>
        <w:spacing w:afterLines="200" w:after="480"/>
        <w:rPr>
          <w:rFonts w:ascii="Times New Roman" w:hAnsi="Times New Roman" w:cs="Times New Roman"/>
          <w:sz w:val="24"/>
          <w:szCs w:val="24"/>
        </w:rPr>
      </w:pPr>
    </w:p>
    <w:p w14:paraId="120A53BC" w14:textId="38786FCC" w:rsidR="00F45BCE" w:rsidRPr="00A65CCB" w:rsidRDefault="00E92682" w:rsidP="004804B3">
      <w:pPr>
        <w:pStyle w:val="ListParagraph"/>
        <w:numPr>
          <w:ilvl w:val="0"/>
          <w:numId w:val="7"/>
        </w:numPr>
        <w:spacing w:afterLines="200" w:after="480"/>
        <w:rPr>
          <w:rFonts w:ascii="Times New Roman" w:hAnsi="Times New Roman" w:cs="Times New Roman"/>
          <w:sz w:val="24"/>
          <w:szCs w:val="24"/>
        </w:rPr>
      </w:pPr>
      <w:r w:rsidRPr="00A65CCB">
        <w:rPr>
          <w:rFonts w:ascii="Times New Roman" w:hAnsi="Times New Roman" w:cs="Times New Roman"/>
          <w:sz w:val="24"/>
          <w:szCs w:val="24"/>
        </w:rPr>
        <w:t xml:space="preserve">For </w:t>
      </w:r>
      <w:r w:rsidR="002730E7">
        <w:rPr>
          <w:rFonts w:ascii="Times New Roman" w:hAnsi="Times New Roman" w:cs="Times New Roman"/>
          <w:sz w:val="24"/>
          <w:szCs w:val="24"/>
        </w:rPr>
        <w:t xml:space="preserve">each </w:t>
      </w:r>
      <w:r w:rsidR="00377849">
        <w:rPr>
          <w:rFonts w:ascii="Times New Roman" w:hAnsi="Times New Roman" w:cs="Times New Roman"/>
          <w:sz w:val="24"/>
          <w:szCs w:val="24"/>
        </w:rPr>
        <w:t xml:space="preserve">ACO </w:t>
      </w:r>
      <w:r w:rsidRPr="00A65CCB">
        <w:rPr>
          <w:rFonts w:ascii="Times New Roman" w:hAnsi="Times New Roman" w:cs="Times New Roman"/>
          <w:sz w:val="24"/>
          <w:szCs w:val="24"/>
        </w:rPr>
        <w:t>provider</w:t>
      </w:r>
      <w:r w:rsidR="002730E7">
        <w:rPr>
          <w:rFonts w:ascii="Times New Roman" w:hAnsi="Times New Roman" w:cs="Times New Roman"/>
          <w:sz w:val="24"/>
          <w:szCs w:val="24"/>
        </w:rPr>
        <w:t xml:space="preserve"> that will assume</w:t>
      </w:r>
      <w:r w:rsidRPr="00A65CCB">
        <w:rPr>
          <w:rFonts w:ascii="Times New Roman" w:hAnsi="Times New Roman" w:cs="Times New Roman"/>
          <w:sz w:val="24"/>
          <w:szCs w:val="24"/>
        </w:rPr>
        <w:t xml:space="preserve"> risk</w:t>
      </w:r>
      <w:r w:rsidR="002730E7">
        <w:rPr>
          <w:rFonts w:ascii="Times New Roman" w:hAnsi="Times New Roman" w:cs="Times New Roman"/>
          <w:sz w:val="24"/>
          <w:szCs w:val="24"/>
        </w:rPr>
        <w:t xml:space="preserve"> in 2019</w:t>
      </w:r>
      <w:r w:rsidRPr="00A65CCB">
        <w:rPr>
          <w:rFonts w:ascii="Times New Roman" w:hAnsi="Times New Roman" w:cs="Times New Roman"/>
          <w:sz w:val="24"/>
          <w:szCs w:val="24"/>
        </w:rPr>
        <w:t>, describe the ACO’s</w:t>
      </w:r>
      <w:r w:rsidR="002730E7">
        <w:rPr>
          <w:rFonts w:ascii="Times New Roman" w:hAnsi="Times New Roman" w:cs="Times New Roman"/>
          <w:sz w:val="24"/>
          <w:szCs w:val="24"/>
        </w:rPr>
        <w:t xml:space="preserve"> risk arrangements </w:t>
      </w:r>
      <w:r w:rsidRPr="00A65CCB">
        <w:rPr>
          <w:rFonts w:ascii="Times New Roman" w:hAnsi="Times New Roman" w:cs="Times New Roman"/>
          <w:sz w:val="24"/>
          <w:szCs w:val="24"/>
        </w:rPr>
        <w:t>with the provider</w:t>
      </w:r>
      <w:r w:rsidR="00BD2ED7">
        <w:rPr>
          <w:rFonts w:ascii="Times New Roman" w:hAnsi="Times New Roman" w:cs="Times New Roman"/>
          <w:sz w:val="24"/>
          <w:szCs w:val="24"/>
        </w:rPr>
        <w:t>, including</w:t>
      </w:r>
      <w:r w:rsidRPr="00A65CCB">
        <w:rPr>
          <w:rFonts w:ascii="Times New Roman" w:hAnsi="Times New Roman" w:cs="Times New Roman"/>
          <w:sz w:val="24"/>
          <w:szCs w:val="24"/>
        </w:rPr>
        <w:t>:</w:t>
      </w:r>
    </w:p>
    <w:p w14:paraId="313B0DD1" w14:textId="77777777" w:rsidR="00F45BCE" w:rsidRPr="00A65CCB" w:rsidRDefault="00E92682" w:rsidP="004804B3">
      <w:pPr>
        <w:pStyle w:val="ListParagraph"/>
        <w:numPr>
          <w:ilvl w:val="0"/>
          <w:numId w:val="14"/>
        </w:numPr>
        <w:spacing w:afterLines="200" w:after="480"/>
        <w:rPr>
          <w:rFonts w:ascii="Times New Roman" w:hAnsi="Times New Roman" w:cs="Times New Roman"/>
          <w:sz w:val="24"/>
          <w:szCs w:val="24"/>
        </w:rPr>
      </w:pPr>
      <w:r w:rsidRPr="00A65CCB">
        <w:rPr>
          <w:rFonts w:ascii="Times New Roman" w:hAnsi="Times New Roman" w:cs="Times New Roman"/>
          <w:sz w:val="24"/>
          <w:szCs w:val="24"/>
        </w:rPr>
        <w:lastRenderedPageBreak/>
        <w:t>The percentage of downside risk assumed by the provider, if any;</w:t>
      </w:r>
    </w:p>
    <w:p w14:paraId="2F8228CA" w14:textId="51193AC6" w:rsidR="00F45BCE" w:rsidRPr="00B01AB0" w:rsidRDefault="00E92682" w:rsidP="004804B3">
      <w:pPr>
        <w:pStyle w:val="ListParagraph"/>
        <w:numPr>
          <w:ilvl w:val="0"/>
          <w:numId w:val="14"/>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cap on downside risk assumed by the provider, if any</w:t>
      </w:r>
      <w:r w:rsidR="000D1310">
        <w:rPr>
          <w:rFonts w:ascii="Times New Roman" w:hAnsi="Times New Roman" w:cs="Times New Roman"/>
          <w:sz w:val="24"/>
          <w:szCs w:val="24"/>
        </w:rPr>
        <w:t>;</w:t>
      </w:r>
      <w:r w:rsidRPr="00A65CCB">
        <w:rPr>
          <w:rFonts w:ascii="Times New Roman" w:hAnsi="Times New Roman" w:cs="Times New Roman"/>
          <w:sz w:val="24"/>
          <w:szCs w:val="24"/>
        </w:rPr>
        <w:t xml:space="preserve"> and</w:t>
      </w:r>
    </w:p>
    <w:p w14:paraId="530F7CDF" w14:textId="4FA7439C" w:rsidR="00594A70" w:rsidRDefault="000D1310" w:rsidP="004804B3">
      <w:pPr>
        <w:pStyle w:val="ListParagraph"/>
        <w:numPr>
          <w:ilvl w:val="0"/>
          <w:numId w:val="13"/>
        </w:numPr>
        <w:spacing w:afterLines="200" w:after="480"/>
        <w:rPr>
          <w:rFonts w:ascii="Times New Roman" w:hAnsi="Times New Roman" w:cs="Times New Roman"/>
          <w:sz w:val="24"/>
          <w:szCs w:val="24"/>
        </w:rPr>
      </w:pPr>
      <w:r>
        <w:rPr>
          <w:rFonts w:ascii="Times New Roman" w:hAnsi="Times New Roman" w:cs="Times New Roman"/>
          <w:sz w:val="24"/>
          <w:szCs w:val="24"/>
        </w:rPr>
        <w:t>The</w:t>
      </w:r>
      <w:r w:rsidR="00E92682" w:rsidRPr="00A65CCB">
        <w:rPr>
          <w:rFonts w:ascii="Times New Roman" w:hAnsi="Times New Roman" w:cs="Times New Roman"/>
          <w:sz w:val="24"/>
          <w:szCs w:val="24"/>
        </w:rPr>
        <w:t xml:space="preserve"> risk mitigation </w:t>
      </w:r>
      <w:r w:rsidR="00F8369A">
        <w:rPr>
          <w:rFonts w:ascii="Times New Roman" w:hAnsi="Times New Roman" w:cs="Times New Roman"/>
          <w:sz w:val="24"/>
          <w:szCs w:val="24"/>
        </w:rPr>
        <w:t>measures</w:t>
      </w:r>
      <w:r w:rsidR="00F8369A" w:rsidRPr="00A65CCB">
        <w:rPr>
          <w:rFonts w:ascii="Times New Roman" w:hAnsi="Times New Roman" w:cs="Times New Roman"/>
          <w:sz w:val="24"/>
          <w:szCs w:val="24"/>
        </w:rPr>
        <w:t xml:space="preserve"> </w:t>
      </w:r>
      <w:r w:rsidR="00E92682" w:rsidRPr="00A65CCB">
        <w:rPr>
          <w:rFonts w:ascii="Times New Roman" w:hAnsi="Times New Roman" w:cs="Times New Roman"/>
          <w:sz w:val="24"/>
          <w:szCs w:val="24"/>
        </w:rPr>
        <w:t xml:space="preserve">the ACO </w:t>
      </w:r>
      <w:r w:rsidR="002730E7">
        <w:rPr>
          <w:rFonts w:ascii="Times New Roman" w:hAnsi="Times New Roman" w:cs="Times New Roman"/>
          <w:sz w:val="24"/>
          <w:szCs w:val="24"/>
        </w:rPr>
        <w:t xml:space="preserve">requires of or undertakes for </w:t>
      </w:r>
      <w:r w:rsidR="00E92682" w:rsidRPr="00A65CCB">
        <w:rPr>
          <w:rFonts w:ascii="Times New Roman" w:hAnsi="Times New Roman" w:cs="Times New Roman"/>
          <w:sz w:val="24"/>
          <w:szCs w:val="24"/>
        </w:rPr>
        <w:t>the provider, if any (e.g., reinsurance, reserves).</w:t>
      </w:r>
    </w:p>
    <w:p w14:paraId="5ED99BED" w14:textId="77777777" w:rsidR="00594A70" w:rsidRPr="002D2D7D" w:rsidRDefault="00594A70" w:rsidP="002D2D7D">
      <w:pPr>
        <w:pStyle w:val="ListParagraph"/>
        <w:spacing w:afterLines="200" w:after="480"/>
        <w:ind w:left="1440"/>
        <w:rPr>
          <w:rFonts w:ascii="Times New Roman" w:hAnsi="Times New Roman" w:cs="Times New Roman"/>
          <w:sz w:val="24"/>
          <w:szCs w:val="24"/>
        </w:rPr>
      </w:pPr>
    </w:p>
    <w:p w14:paraId="0E7E5A1F" w14:textId="1785A1B2" w:rsidR="002D2D7D" w:rsidRPr="002D2D7D" w:rsidRDefault="002A3DB9" w:rsidP="004804B3">
      <w:pPr>
        <w:pStyle w:val="ListParagraph"/>
        <w:numPr>
          <w:ilvl w:val="0"/>
          <w:numId w:val="7"/>
        </w:numPr>
        <w:spacing w:afterLines="200" w:after="480"/>
        <w:rPr>
          <w:rFonts w:ascii="Times New Roman" w:hAnsi="Times New Roman" w:cs="Times New Roman"/>
          <w:sz w:val="24"/>
          <w:szCs w:val="24"/>
        </w:rPr>
      </w:pPr>
      <w:r w:rsidRPr="002D2D7D">
        <w:rPr>
          <w:rFonts w:ascii="Times New Roman" w:hAnsi="Times New Roman"/>
          <w:sz w:val="24"/>
          <w:szCs w:val="24"/>
        </w:rPr>
        <w:t>Provide, as an attachment, a completed</w:t>
      </w:r>
      <w:r w:rsidR="0022552C" w:rsidRPr="002D2D7D">
        <w:rPr>
          <w:rFonts w:ascii="Times New Roman" w:hAnsi="Times New Roman"/>
          <w:sz w:val="24"/>
          <w:szCs w:val="24"/>
        </w:rPr>
        <w:t xml:space="preserve"> </w:t>
      </w:r>
      <w:r w:rsidR="00E30D41" w:rsidRPr="002D2D7D">
        <w:rPr>
          <w:rFonts w:ascii="Times New Roman" w:hAnsi="Times New Roman"/>
          <w:b/>
          <w:sz w:val="24"/>
          <w:szCs w:val="24"/>
        </w:rPr>
        <w:t>2019</w:t>
      </w:r>
      <w:r w:rsidR="00E30D41" w:rsidRPr="002D2D7D">
        <w:rPr>
          <w:rFonts w:ascii="Times New Roman" w:hAnsi="Times New Roman"/>
          <w:sz w:val="24"/>
          <w:szCs w:val="24"/>
        </w:rPr>
        <w:t xml:space="preserve"> </w:t>
      </w:r>
      <w:r w:rsidR="004A0A4D" w:rsidRPr="002D2D7D">
        <w:rPr>
          <w:rFonts w:ascii="Times New Roman" w:hAnsi="Times New Roman"/>
          <w:b/>
          <w:sz w:val="24"/>
          <w:szCs w:val="24"/>
        </w:rPr>
        <w:t>Health Service Areas and Associated Risk Totals</w:t>
      </w:r>
      <w:r w:rsidR="004A0A4D" w:rsidRPr="002D2D7D">
        <w:rPr>
          <w:rFonts w:ascii="Times New Roman" w:hAnsi="Times New Roman"/>
          <w:sz w:val="24"/>
          <w:szCs w:val="24"/>
        </w:rPr>
        <w:t xml:space="preserve"> </w:t>
      </w:r>
      <w:r w:rsidR="0022552C" w:rsidRPr="002D2D7D">
        <w:rPr>
          <w:rFonts w:ascii="Times New Roman" w:hAnsi="Times New Roman"/>
          <w:b/>
          <w:sz w:val="24"/>
          <w:szCs w:val="24"/>
        </w:rPr>
        <w:t>(Appendix 2.3)</w:t>
      </w:r>
      <w:r w:rsidR="00D068B3" w:rsidRPr="002D2D7D">
        <w:rPr>
          <w:rFonts w:ascii="Times New Roman" w:hAnsi="Times New Roman"/>
          <w:b/>
          <w:sz w:val="24"/>
          <w:szCs w:val="24"/>
        </w:rPr>
        <w:t xml:space="preserve"> and a 2019 </w:t>
      </w:r>
      <w:r w:rsidR="00EE168B" w:rsidRPr="002D2D7D">
        <w:rPr>
          <w:rFonts w:ascii="Times New Roman" w:hAnsi="Times New Roman"/>
          <w:b/>
          <w:sz w:val="24"/>
          <w:szCs w:val="24"/>
        </w:rPr>
        <w:t>Budgeted Risk Model (Appendix 2.4)</w:t>
      </w:r>
    </w:p>
    <w:p w14:paraId="7C98E9A6" w14:textId="77777777" w:rsidR="002D2D7D" w:rsidRPr="002D2D7D" w:rsidRDefault="002D2D7D" w:rsidP="002D2D7D">
      <w:pPr>
        <w:pStyle w:val="ListParagraph"/>
        <w:spacing w:afterLines="200" w:after="480"/>
        <w:rPr>
          <w:rFonts w:ascii="Times New Roman" w:hAnsi="Times New Roman" w:cs="Times New Roman"/>
          <w:sz w:val="24"/>
          <w:szCs w:val="24"/>
        </w:rPr>
      </w:pPr>
    </w:p>
    <w:p w14:paraId="4020F355" w14:textId="20540C8A" w:rsidR="007C0578" w:rsidRPr="002D2D7D" w:rsidRDefault="00E92682" w:rsidP="004804B3">
      <w:pPr>
        <w:pStyle w:val="ListParagraph"/>
        <w:numPr>
          <w:ilvl w:val="0"/>
          <w:numId w:val="7"/>
        </w:numPr>
        <w:spacing w:afterLines="200" w:after="480"/>
        <w:rPr>
          <w:rFonts w:ascii="Times New Roman" w:hAnsi="Times New Roman" w:cs="Times New Roman"/>
          <w:sz w:val="24"/>
          <w:szCs w:val="24"/>
        </w:rPr>
      </w:pPr>
      <w:r w:rsidRPr="002D2D7D">
        <w:rPr>
          <w:rFonts w:ascii="Times New Roman" w:hAnsi="Times New Roman"/>
          <w:sz w:val="24"/>
          <w:szCs w:val="24"/>
        </w:rPr>
        <w:t xml:space="preserve">Submit </w:t>
      </w:r>
      <w:r w:rsidR="001F1369" w:rsidRPr="002D2D7D">
        <w:rPr>
          <w:rFonts w:ascii="Times New Roman" w:hAnsi="Times New Roman"/>
          <w:sz w:val="24"/>
          <w:szCs w:val="24"/>
        </w:rPr>
        <w:t xml:space="preserve">copies of each type of your </w:t>
      </w:r>
      <w:r w:rsidRPr="002D2D7D">
        <w:rPr>
          <w:rFonts w:ascii="Times New Roman" w:hAnsi="Times New Roman"/>
          <w:sz w:val="24"/>
          <w:szCs w:val="24"/>
        </w:rPr>
        <w:t>provider contracts</w:t>
      </w:r>
      <w:r w:rsidR="004A0A4D" w:rsidRPr="002D2D7D">
        <w:rPr>
          <w:rFonts w:ascii="Times New Roman" w:hAnsi="Times New Roman"/>
          <w:sz w:val="24"/>
          <w:szCs w:val="24"/>
        </w:rPr>
        <w:t xml:space="preserve"> and agreements</w:t>
      </w:r>
      <w:r w:rsidR="00B07171" w:rsidRPr="002D2D7D">
        <w:rPr>
          <w:rFonts w:ascii="Times New Roman" w:hAnsi="Times New Roman"/>
          <w:sz w:val="24"/>
          <w:szCs w:val="24"/>
        </w:rPr>
        <w:t xml:space="preserve"> (i.e. risk</w:t>
      </w:r>
      <w:r w:rsidR="004A0A4D" w:rsidRPr="002D2D7D">
        <w:rPr>
          <w:rFonts w:ascii="Times New Roman" w:hAnsi="Times New Roman"/>
          <w:sz w:val="24"/>
          <w:szCs w:val="24"/>
        </w:rPr>
        <w:t xml:space="preserve"> contracts, non-risk contracts, collaboration agreements</w:t>
      </w:r>
      <w:r w:rsidR="00B07171" w:rsidRPr="002D2D7D">
        <w:rPr>
          <w:rFonts w:ascii="Times New Roman" w:hAnsi="Times New Roman"/>
          <w:sz w:val="24"/>
          <w:szCs w:val="24"/>
        </w:rPr>
        <w:t>)</w:t>
      </w:r>
      <w:r w:rsidRPr="002D2D7D">
        <w:rPr>
          <w:rFonts w:ascii="Times New Roman" w:hAnsi="Times New Roman"/>
          <w:sz w:val="24"/>
          <w:szCs w:val="24"/>
        </w:rPr>
        <w:t>.</w:t>
      </w:r>
    </w:p>
    <w:p w14:paraId="4B23D3C1" w14:textId="08566ABF" w:rsidR="00E92682" w:rsidRPr="007C0578" w:rsidRDefault="00AF16B9" w:rsidP="00E50140">
      <w:pPr>
        <w:pStyle w:val="Heading2"/>
      </w:pPr>
      <w:r>
        <w:t>Section</w:t>
      </w:r>
      <w:r w:rsidRPr="007C0578">
        <w:t xml:space="preserve"> </w:t>
      </w:r>
      <w:r w:rsidR="00E92682" w:rsidRPr="007C0578">
        <w:t xml:space="preserve">3: ACO </w:t>
      </w:r>
      <w:r w:rsidR="00F92A54" w:rsidRPr="007C0578">
        <w:t xml:space="preserve">PAYER </w:t>
      </w:r>
      <w:r w:rsidR="00E92682" w:rsidRPr="007C0578">
        <w:t>P</w:t>
      </w:r>
      <w:r w:rsidR="00635667" w:rsidRPr="007C0578">
        <w:t>ROGRAMS</w:t>
      </w:r>
      <w:r w:rsidR="00E92682" w:rsidRPr="007C0578">
        <w:t xml:space="preserve"> </w:t>
      </w:r>
    </w:p>
    <w:p w14:paraId="31ACE2C4" w14:textId="77777777" w:rsidR="00F322D0" w:rsidRDefault="00E92682" w:rsidP="004804B3">
      <w:pPr>
        <w:pStyle w:val="ListParagraph"/>
        <w:numPr>
          <w:ilvl w:val="0"/>
          <w:numId w:val="8"/>
        </w:numPr>
        <w:spacing w:afterLines="200" w:after="480"/>
        <w:rPr>
          <w:rFonts w:ascii="Times New Roman" w:hAnsi="Times New Roman" w:cs="Times New Roman"/>
          <w:sz w:val="24"/>
          <w:szCs w:val="24"/>
        </w:rPr>
      </w:pPr>
      <w:r w:rsidRPr="00F322D0">
        <w:rPr>
          <w:rFonts w:ascii="Times New Roman" w:hAnsi="Times New Roman" w:cs="Times New Roman"/>
          <w:sz w:val="24"/>
          <w:szCs w:val="24"/>
        </w:rPr>
        <w:t>Provide copies of existing agreements or contracts with payers</w:t>
      </w:r>
      <w:r w:rsidR="00B20533" w:rsidRPr="00F322D0">
        <w:rPr>
          <w:rFonts w:ascii="Times New Roman" w:hAnsi="Times New Roman" w:cs="Times New Roman"/>
          <w:sz w:val="24"/>
          <w:szCs w:val="24"/>
        </w:rPr>
        <w:t xml:space="preserve"> if they have been updated since </w:t>
      </w:r>
      <w:r w:rsidR="00BD2ED7" w:rsidRPr="00F322D0">
        <w:rPr>
          <w:rFonts w:ascii="Times New Roman" w:hAnsi="Times New Roman" w:cs="Times New Roman"/>
          <w:sz w:val="24"/>
          <w:szCs w:val="24"/>
        </w:rPr>
        <w:t xml:space="preserve">they were </w:t>
      </w:r>
      <w:r w:rsidR="00377849" w:rsidRPr="00F322D0">
        <w:rPr>
          <w:rFonts w:ascii="Times New Roman" w:hAnsi="Times New Roman" w:cs="Times New Roman"/>
          <w:sz w:val="24"/>
          <w:szCs w:val="24"/>
        </w:rPr>
        <w:t>submitted to the GMCB</w:t>
      </w:r>
      <w:r w:rsidRPr="00F322D0">
        <w:rPr>
          <w:rFonts w:ascii="Times New Roman" w:hAnsi="Times New Roman" w:cs="Times New Roman"/>
          <w:sz w:val="24"/>
          <w:szCs w:val="24"/>
        </w:rPr>
        <w:t xml:space="preserve">. If </w:t>
      </w:r>
      <w:r w:rsidR="00B20533" w:rsidRPr="00F322D0">
        <w:rPr>
          <w:rFonts w:ascii="Times New Roman" w:hAnsi="Times New Roman" w:cs="Times New Roman"/>
          <w:sz w:val="24"/>
          <w:szCs w:val="24"/>
        </w:rPr>
        <w:t xml:space="preserve">2019 </w:t>
      </w:r>
      <w:r w:rsidRPr="00F322D0">
        <w:rPr>
          <w:rFonts w:ascii="Times New Roman" w:hAnsi="Times New Roman" w:cs="Times New Roman"/>
          <w:sz w:val="24"/>
          <w:szCs w:val="24"/>
        </w:rPr>
        <w:t xml:space="preserve">contracts </w:t>
      </w:r>
      <w:r w:rsidR="00BD2ED7" w:rsidRPr="00F322D0">
        <w:rPr>
          <w:rFonts w:ascii="Times New Roman" w:hAnsi="Times New Roman" w:cs="Times New Roman"/>
          <w:sz w:val="24"/>
          <w:szCs w:val="24"/>
        </w:rPr>
        <w:t xml:space="preserve">are </w:t>
      </w:r>
      <w:r w:rsidRPr="00F322D0">
        <w:rPr>
          <w:rFonts w:ascii="Times New Roman" w:hAnsi="Times New Roman" w:cs="Times New Roman"/>
          <w:sz w:val="24"/>
          <w:szCs w:val="24"/>
        </w:rPr>
        <w:t>not available, please submit</w:t>
      </w:r>
      <w:r w:rsidR="00377849" w:rsidRPr="00F322D0">
        <w:rPr>
          <w:rFonts w:ascii="Times New Roman" w:hAnsi="Times New Roman" w:cs="Times New Roman"/>
          <w:sz w:val="24"/>
          <w:szCs w:val="24"/>
        </w:rPr>
        <w:t xml:space="preserve"> the contracts</w:t>
      </w:r>
      <w:r w:rsidRPr="00F322D0">
        <w:rPr>
          <w:rFonts w:ascii="Times New Roman" w:hAnsi="Times New Roman" w:cs="Times New Roman"/>
          <w:sz w:val="24"/>
          <w:szCs w:val="24"/>
        </w:rPr>
        <w:t xml:space="preserve"> as an addendum when </w:t>
      </w:r>
      <w:r w:rsidR="00377849" w:rsidRPr="00F322D0">
        <w:rPr>
          <w:rFonts w:ascii="Times New Roman" w:hAnsi="Times New Roman" w:cs="Times New Roman"/>
          <w:sz w:val="24"/>
          <w:szCs w:val="24"/>
        </w:rPr>
        <w:t xml:space="preserve">they are </w:t>
      </w:r>
      <w:r w:rsidRPr="00F322D0">
        <w:rPr>
          <w:rFonts w:ascii="Times New Roman" w:hAnsi="Times New Roman" w:cs="Times New Roman"/>
          <w:sz w:val="24"/>
          <w:szCs w:val="24"/>
        </w:rPr>
        <w:t xml:space="preserve">signed. </w:t>
      </w:r>
      <w:r w:rsidR="008E4CC0" w:rsidRPr="00F322D0">
        <w:rPr>
          <w:rFonts w:ascii="Times New Roman" w:hAnsi="Times New Roman" w:cs="Times New Roman"/>
          <w:sz w:val="24"/>
          <w:szCs w:val="24"/>
        </w:rPr>
        <w:t xml:space="preserve">Also include </w:t>
      </w:r>
      <w:r w:rsidR="00377849" w:rsidRPr="00F322D0">
        <w:rPr>
          <w:rFonts w:ascii="Times New Roman" w:hAnsi="Times New Roman" w:cs="Times New Roman"/>
          <w:sz w:val="24"/>
          <w:szCs w:val="24"/>
        </w:rPr>
        <w:t xml:space="preserve">the </w:t>
      </w:r>
      <w:r w:rsidR="008E4CC0" w:rsidRPr="00F322D0">
        <w:rPr>
          <w:rFonts w:ascii="Times New Roman" w:hAnsi="Times New Roman" w:cs="Times New Roman"/>
          <w:sz w:val="24"/>
          <w:szCs w:val="24"/>
        </w:rPr>
        <w:t>latest Next Generation benefit enhancement implementation plans</w:t>
      </w:r>
      <w:r w:rsidR="005C387A" w:rsidRPr="00F322D0">
        <w:rPr>
          <w:rFonts w:ascii="Times New Roman" w:hAnsi="Times New Roman" w:cs="Times New Roman"/>
          <w:sz w:val="24"/>
          <w:szCs w:val="24"/>
        </w:rPr>
        <w:t>.</w:t>
      </w:r>
    </w:p>
    <w:p w14:paraId="7D985401" w14:textId="77777777" w:rsidR="00F322D0" w:rsidRPr="00F322D0" w:rsidRDefault="00F322D0" w:rsidP="00F322D0">
      <w:pPr>
        <w:pStyle w:val="ListParagraph"/>
        <w:spacing w:afterLines="200" w:after="480"/>
        <w:rPr>
          <w:rFonts w:ascii="Times New Roman" w:hAnsi="Times New Roman" w:cs="Times New Roman"/>
          <w:sz w:val="24"/>
          <w:szCs w:val="24"/>
        </w:rPr>
      </w:pPr>
    </w:p>
    <w:p w14:paraId="1A760570" w14:textId="508446AE" w:rsidR="00F322D0" w:rsidRPr="00F322D0" w:rsidRDefault="00F322D0" w:rsidP="004804B3">
      <w:pPr>
        <w:pStyle w:val="ListParagraph"/>
        <w:numPr>
          <w:ilvl w:val="0"/>
          <w:numId w:val="8"/>
        </w:numPr>
        <w:spacing w:afterLines="200" w:after="480"/>
        <w:rPr>
          <w:rFonts w:ascii="Times New Roman" w:hAnsi="Times New Roman" w:cs="Times New Roman"/>
          <w:sz w:val="24"/>
          <w:szCs w:val="24"/>
        </w:rPr>
      </w:pPr>
      <w:r w:rsidRPr="00F322D0">
        <w:rPr>
          <w:rFonts w:ascii="Times New Roman" w:hAnsi="Times New Roman"/>
          <w:sz w:val="24"/>
          <w:szCs w:val="24"/>
        </w:rPr>
        <w:t>By payer and line of business, provide an analysis of your most recent annual ACO quality reports for measures. In addition, please include a copy of the results for each contract.</w:t>
      </w:r>
    </w:p>
    <w:p w14:paraId="1F84C15C" w14:textId="77777777" w:rsidR="00F322D0" w:rsidRDefault="00F322D0" w:rsidP="00F322D0">
      <w:pPr>
        <w:pStyle w:val="ListParagraph"/>
        <w:spacing w:afterLines="200" w:after="480"/>
        <w:rPr>
          <w:rFonts w:ascii="Times New Roman" w:hAnsi="Times New Roman" w:cs="Times New Roman"/>
          <w:sz w:val="24"/>
          <w:szCs w:val="24"/>
        </w:rPr>
      </w:pPr>
    </w:p>
    <w:p w14:paraId="7B1AA539" w14:textId="57DB9F8D" w:rsidR="005C387A" w:rsidRPr="00A65CCB" w:rsidRDefault="00E92682" w:rsidP="004804B3">
      <w:pPr>
        <w:pStyle w:val="ListParagraph"/>
        <w:numPr>
          <w:ilvl w:val="0"/>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If applicable, by payer and line of business, describe program arrangement(s) between the payer and the ACO including:</w:t>
      </w:r>
    </w:p>
    <w:p w14:paraId="484175D7" w14:textId="77777777" w:rsidR="005C387A" w:rsidRPr="00A65CCB" w:rsidRDefault="005C387A" w:rsidP="00A65CCB">
      <w:pPr>
        <w:pStyle w:val="ListParagraph"/>
        <w:spacing w:afterLines="200" w:after="480"/>
        <w:rPr>
          <w:rFonts w:ascii="Times New Roman" w:hAnsi="Times New Roman" w:cs="Times New Roman"/>
          <w:sz w:val="24"/>
          <w:szCs w:val="24"/>
        </w:rPr>
      </w:pPr>
    </w:p>
    <w:p w14:paraId="125295F2"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Full risk, shared risk, shared savings, other (please specify);</w:t>
      </w:r>
    </w:p>
    <w:p w14:paraId="054F1A6B"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use of a minimum savings rate, minimum loss rate, or similar concept;</w:t>
      </w:r>
    </w:p>
    <w:p w14:paraId="46B52282"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percentage of downside risk assumed by the ACO;</w:t>
      </w:r>
    </w:p>
    <w:p w14:paraId="2DF9B270" w14:textId="77777777" w:rsidR="005C387A"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cap on downside risk assumed by the ACO, if any;</w:t>
      </w:r>
    </w:p>
    <w:p w14:paraId="5F3F4B07" w14:textId="77777777" w:rsidR="00BD2ED7" w:rsidRPr="00A65CCB" w:rsidRDefault="00BD2ED7" w:rsidP="004804B3">
      <w:pPr>
        <w:pStyle w:val="ListParagraph"/>
        <w:numPr>
          <w:ilvl w:val="1"/>
          <w:numId w:val="8"/>
        </w:numPr>
        <w:spacing w:afterLines="200" w:after="480"/>
        <w:rPr>
          <w:rFonts w:ascii="Times New Roman" w:hAnsi="Times New Roman" w:cs="Times New Roman"/>
          <w:sz w:val="24"/>
          <w:szCs w:val="24"/>
        </w:rPr>
      </w:pPr>
      <w:r>
        <w:rPr>
          <w:rFonts w:ascii="Times New Roman" w:hAnsi="Times New Roman" w:cs="Times New Roman"/>
          <w:sz w:val="24"/>
          <w:szCs w:val="24"/>
        </w:rPr>
        <w:t>The percentage of upside gain for the ACO, if any;</w:t>
      </w:r>
    </w:p>
    <w:p w14:paraId="1A2E2B4E"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The cap on upside gain for the ACO, if any;</w:t>
      </w:r>
    </w:p>
    <w:p w14:paraId="7840080E"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Risk mitigation provisions in the payer contract:</w:t>
      </w:r>
    </w:p>
    <w:p w14:paraId="4B81EE2E" w14:textId="77777777" w:rsidR="005C387A"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Exclusion or truncation of high-cost outlier individuals (please describe)</w:t>
      </w:r>
    </w:p>
    <w:p w14:paraId="529B4688" w14:textId="77777777" w:rsidR="005C387A"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Payer-provided reinsurance</w:t>
      </w:r>
    </w:p>
    <w:p w14:paraId="29EDB7DC" w14:textId="77777777" w:rsidR="005C387A"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Risk adjustment: age/gender, clinical (identify grouper software)</w:t>
      </w:r>
    </w:p>
    <w:p w14:paraId="1FB32E58" w14:textId="77777777" w:rsidR="005C387A" w:rsidRPr="00A65CCB" w:rsidRDefault="00E92682" w:rsidP="004804B3">
      <w:pPr>
        <w:pStyle w:val="ListParagraph"/>
        <w:numPr>
          <w:ilvl w:val="1"/>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Method for setting the budget target;</w:t>
      </w:r>
    </w:p>
    <w:p w14:paraId="38059B05" w14:textId="77777777" w:rsidR="005C387A"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Trended historical experience</w:t>
      </w:r>
    </w:p>
    <w:p w14:paraId="4A18D95F" w14:textId="77777777" w:rsidR="005C387A"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Percentage of premium</w:t>
      </w:r>
    </w:p>
    <w:p w14:paraId="3657E116" w14:textId="77777777" w:rsidR="006C5D95" w:rsidRPr="00A65CCB" w:rsidRDefault="00E92682" w:rsidP="004804B3">
      <w:pPr>
        <w:pStyle w:val="ListParagraph"/>
        <w:numPr>
          <w:ilvl w:val="2"/>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Other (please describe)</w:t>
      </w:r>
    </w:p>
    <w:p w14:paraId="6462DF15" w14:textId="77777777" w:rsidR="006C5D95" w:rsidRPr="00A65CCB" w:rsidRDefault="006C5D95" w:rsidP="00A65CCB">
      <w:pPr>
        <w:pStyle w:val="ListParagraph"/>
        <w:spacing w:afterLines="200" w:after="480"/>
        <w:rPr>
          <w:rFonts w:ascii="Times New Roman" w:hAnsi="Times New Roman" w:cs="Times New Roman"/>
          <w:sz w:val="24"/>
          <w:szCs w:val="24"/>
        </w:rPr>
      </w:pPr>
    </w:p>
    <w:p w14:paraId="582BC1D2" w14:textId="21B777AC" w:rsidR="007E723B" w:rsidRDefault="008E4CC0" w:rsidP="004804B3">
      <w:pPr>
        <w:pStyle w:val="ListParagraph"/>
        <w:numPr>
          <w:ilvl w:val="0"/>
          <w:numId w:val="8"/>
        </w:numPr>
        <w:spacing w:afterLines="200" w:after="480"/>
        <w:rPr>
          <w:rFonts w:ascii="Times New Roman" w:hAnsi="Times New Roman" w:cs="Times New Roman"/>
          <w:sz w:val="24"/>
          <w:szCs w:val="24"/>
        </w:rPr>
      </w:pPr>
      <w:r w:rsidRPr="00A65CCB">
        <w:rPr>
          <w:rFonts w:ascii="Times New Roman" w:hAnsi="Times New Roman" w:cs="Times New Roman"/>
          <w:sz w:val="24"/>
          <w:szCs w:val="24"/>
        </w:rPr>
        <w:t xml:space="preserve">Complete </w:t>
      </w:r>
      <w:r w:rsidRPr="00A65CCB">
        <w:rPr>
          <w:rFonts w:ascii="Times New Roman" w:hAnsi="Times New Roman" w:cs="Times New Roman"/>
          <w:b/>
          <w:sz w:val="24"/>
          <w:szCs w:val="24"/>
        </w:rPr>
        <w:t xml:space="preserve">Appendix </w:t>
      </w:r>
      <w:r w:rsidR="00711DB8">
        <w:rPr>
          <w:rFonts w:ascii="Times New Roman" w:hAnsi="Times New Roman" w:cs="Times New Roman"/>
          <w:b/>
          <w:sz w:val="24"/>
          <w:szCs w:val="24"/>
        </w:rPr>
        <w:t>3</w:t>
      </w:r>
      <w:r w:rsidRPr="00A65CCB">
        <w:rPr>
          <w:rFonts w:ascii="Times New Roman" w:hAnsi="Times New Roman" w:cs="Times New Roman"/>
          <w:b/>
          <w:sz w:val="24"/>
          <w:szCs w:val="24"/>
        </w:rPr>
        <w:t>.1 Program Arrangements</w:t>
      </w:r>
      <w:r w:rsidR="0028298B" w:rsidRPr="00A65CCB">
        <w:rPr>
          <w:rFonts w:ascii="Times New Roman" w:hAnsi="Times New Roman" w:cs="Times New Roman"/>
          <w:b/>
          <w:sz w:val="24"/>
          <w:szCs w:val="24"/>
        </w:rPr>
        <w:t xml:space="preserve"> </w:t>
      </w:r>
      <w:r w:rsidR="0028298B" w:rsidRPr="00A65CCB">
        <w:rPr>
          <w:rFonts w:ascii="Times New Roman" w:hAnsi="Times New Roman" w:cs="Times New Roman"/>
          <w:sz w:val="24"/>
          <w:szCs w:val="24"/>
        </w:rPr>
        <w:t>with the same information as above.</w:t>
      </w:r>
    </w:p>
    <w:p w14:paraId="1676C7EB" w14:textId="77777777" w:rsidR="007E723B" w:rsidRDefault="007E723B" w:rsidP="007E723B">
      <w:pPr>
        <w:pStyle w:val="ListParagraph"/>
        <w:spacing w:afterLines="200" w:after="480"/>
        <w:rPr>
          <w:rFonts w:ascii="Times New Roman" w:hAnsi="Times New Roman" w:cs="Times New Roman"/>
          <w:sz w:val="24"/>
          <w:szCs w:val="24"/>
        </w:rPr>
      </w:pPr>
    </w:p>
    <w:p w14:paraId="7735F399" w14:textId="36292ECE" w:rsidR="000D7958" w:rsidRPr="00130933" w:rsidRDefault="00130933" w:rsidP="00913CFC">
      <w:pPr>
        <w:pStyle w:val="ListParagraph"/>
        <w:numPr>
          <w:ilvl w:val="0"/>
          <w:numId w:val="8"/>
        </w:numPr>
        <w:spacing w:afterLines="200" w:after="480"/>
        <w:rPr>
          <w:rFonts w:ascii="Times New Roman" w:hAnsi="Times New Roman" w:cs="Times New Roman"/>
          <w:sz w:val="24"/>
          <w:szCs w:val="24"/>
        </w:rPr>
      </w:pPr>
      <w:r w:rsidRPr="00130933">
        <w:rPr>
          <w:rFonts w:ascii="Times New Roman" w:hAnsi="Times New Roman"/>
          <w:sz w:val="24"/>
          <w:szCs w:val="24"/>
        </w:rPr>
        <w:t>Provide an explanation for your projected growth rates</w:t>
      </w:r>
      <w:r>
        <w:rPr>
          <w:rFonts w:ascii="Times New Roman" w:hAnsi="Times New Roman"/>
          <w:sz w:val="24"/>
          <w:szCs w:val="24"/>
        </w:rPr>
        <w:t xml:space="preserve">, referencing </w:t>
      </w:r>
      <w:r w:rsidR="007E723B" w:rsidRPr="00130933">
        <w:rPr>
          <w:rFonts w:ascii="Times New Roman" w:hAnsi="Times New Roman"/>
          <w:sz w:val="24"/>
          <w:szCs w:val="24"/>
        </w:rPr>
        <w:t>Part II</w:t>
      </w:r>
      <w:r>
        <w:rPr>
          <w:rFonts w:ascii="Times New Roman" w:hAnsi="Times New Roman"/>
          <w:sz w:val="24"/>
          <w:szCs w:val="24"/>
        </w:rPr>
        <w:t xml:space="preserve">: Budget Guidance, which </w:t>
      </w:r>
      <w:r w:rsidR="008C256F" w:rsidRPr="00130933">
        <w:rPr>
          <w:rFonts w:ascii="Times New Roman" w:hAnsi="Times New Roman"/>
          <w:sz w:val="24"/>
          <w:szCs w:val="24"/>
        </w:rPr>
        <w:t>pro</w:t>
      </w:r>
      <w:r w:rsidR="000D7958" w:rsidRPr="00130933">
        <w:rPr>
          <w:rFonts w:ascii="Times New Roman" w:hAnsi="Times New Roman"/>
          <w:sz w:val="24"/>
          <w:szCs w:val="24"/>
        </w:rPr>
        <w:t xml:space="preserve">vides background on the All-Payer and Medicare Total Cost of Care per Beneficiary Growth outlined in the Vermont All-Payer ACO Agreement. </w:t>
      </w:r>
    </w:p>
    <w:p w14:paraId="608004A9" w14:textId="77777777" w:rsidR="00130933" w:rsidRPr="00130933" w:rsidRDefault="00130933" w:rsidP="00130933">
      <w:pPr>
        <w:pStyle w:val="ListParagraph"/>
        <w:spacing w:afterLines="200" w:after="480"/>
        <w:rPr>
          <w:rFonts w:ascii="Times New Roman" w:hAnsi="Times New Roman" w:cs="Times New Roman"/>
          <w:sz w:val="24"/>
          <w:szCs w:val="24"/>
        </w:rPr>
      </w:pPr>
    </w:p>
    <w:p w14:paraId="051A3895" w14:textId="03B08BF5" w:rsidR="00A174F7" w:rsidRPr="00E86707" w:rsidRDefault="0020574E" w:rsidP="004804B3">
      <w:pPr>
        <w:pStyle w:val="ListParagraph"/>
        <w:numPr>
          <w:ilvl w:val="0"/>
          <w:numId w:val="8"/>
        </w:numPr>
        <w:spacing w:afterLines="200" w:after="480"/>
        <w:rPr>
          <w:rFonts w:ascii="Times New Roman" w:hAnsi="Times New Roman" w:cs="Times New Roman"/>
          <w:sz w:val="24"/>
          <w:szCs w:val="24"/>
        </w:rPr>
      </w:pPr>
      <w:r w:rsidRPr="00E86707">
        <w:rPr>
          <w:rFonts w:ascii="Times New Roman" w:hAnsi="Times New Roman" w:cs="Times New Roman"/>
          <w:sz w:val="24"/>
          <w:szCs w:val="24"/>
        </w:rPr>
        <w:t>The All-Payer ACO Model Agreement requires Scale Target ACO Initiatives to be aligned on key design dimensions</w:t>
      </w:r>
      <w:r w:rsidR="00F322D0" w:rsidRPr="00E86707">
        <w:rPr>
          <w:rFonts w:ascii="Times New Roman" w:hAnsi="Times New Roman" w:cs="Times New Roman"/>
          <w:sz w:val="24"/>
          <w:szCs w:val="24"/>
        </w:rPr>
        <w:t>, including categories of services, benchmark tied to savings, beneficiary alignment, and quality measures</w:t>
      </w:r>
      <w:r w:rsidRPr="00E86707">
        <w:rPr>
          <w:rFonts w:ascii="Times New Roman" w:hAnsi="Times New Roman" w:cs="Times New Roman"/>
          <w:sz w:val="24"/>
          <w:szCs w:val="24"/>
        </w:rPr>
        <w:t xml:space="preserve">. </w:t>
      </w:r>
      <w:r w:rsidR="00FD6E80" w:rsidRPr="00E86707">
        <w:rPr>
          <w:rFonts w:ascii="Times New Roman" w:hAnsi="Times New Roman" w:cs="Times New Roman"/>
          <w:sz w:val="24"/>
          <w:szCs w:val="24"/>
        </w:rPr>
        <w:t>C</w:t>
      </w:r>
      <w:r w:rsidRPr="00E86707">
        <w:rPr>
          <w:rFonts w:ascii="Times New Roman" w:hAnsi="Times New Roman" w:cs="Times New Roman"/>
          <w:sz w:val="24"/>
          <w:szCs w:val="24"/>
        </w:rPr>
        <w:t xml:space="preserve">omplete the table below to describe how your ACO Initiatives are aligned across all payers, how they are different, and a justification for the differences. </w:t>
      </w:r>
      <w:r w:rsidR="00FD6E80" w:rsidRPr="00E86707">
        <w:rPr>
          <w:rFonts w:ascii="Times New Roman" w:hAnsi="Times New Roman" w:cs="Times New Roman"/>
          <w:sz w:val="24"/>
          <w:szCs w:val="24"/>
        </w:rPr>
        <w:t xml:space="preserve">In addition, provide </w:t>
      </w:r>
      <w:r w:rsidR="0071352C" w:rsidRPr="00E86707">
        <w:rPr>
          <w:rFonts w:ascii="Times New Roman" w:hAnsi="Times New Roman" w:cs="Times New Roman"/>
          <w:sz w:val="24"/>
          <w:szCs w:val="24"/>
        </w:rPr>
        <w:t xml:space="preserve">a written </w:t>
      </w:r>
      <w:r w:rsidR="00014237" w:rsidRPr="00E86707">
        <w:rPr>
          <w:rFonts w:ascii="Times New Roman" w:hAnsi="Times New Roman" w:cs="Times New Roman"/>
          <w:sz w:val="24"/>
          <w:szCs w:val="24"/>
        </w:rPr>
        <w:t xml:space="preserve">summary if any of the following categories </w:t>
      </w:r>
      <w:r w:rsidR="0071352C" w:rsidRPr="00E86707">
        <w:rPr>
          <w:rFonts w:ascii="Times New Roman" w:hAnsi="Times New Roman" w:cs="Times New Roman"/>
          <w:sz w:val="24"/>
          <w:szCs w:val="24"/>
        </w:rPr>
        <w:t>are significantly different from 2018-2019.</w:t>
      </w:r>
    </w:p>
    <w:tbl>
      <w:tblPr>
        <w:tblStyle w:val="TableGrid"/>
        <w:tblW w:w="0" w:type="auto"/>
        <w:tblLook w:val="04A0" w:firstRow="1" w:lastRow="0" w:firstColumn="1" w:lastColumn="0" w:noHBand="0" w:noVBand="1"/>
      </w:tblPr>
      <w:tblGrid>
        <w:gridCol w:w="1304"/>
        <w:gridCol w:w="8063"/>
      </w:tblGrid>
      <w:tr w:rsidR="0020574E" w:rsidRPr="00F322D0" w14:paraId="7C05B745" w14:textId="77777777" w:rsidTr="00F322D0">
        <w:tc>
          <w:tcPr>
            <w:tcW w:w="9367" w:type="dxa"/>
            <w:gridSpan w:val="2"/>
            <w:shd w:val="clear" w:color="auto" w:fill="F2F2F2" w:themeFill="background1" w:themeFillShade="F2"/>
          </w:tcPr>
          <w:p w14:paraId="38AA6587" w14:textId="514467C3" w:rsidR="0020574E" w:rsidRPr="00F322D0" w:rsidRDefault="00F322D0" w:rsidP="00F322D0">
            <w:pPr>
              <w:tabs>
                <w:tab w:val="left" w:pos="2070"/>
              </w:tabs>
              <w:rPr>
                <w:rFonts w:ascii="Times New Roman" w:hAnsi="Times New Roman"/>
              </w:rPr>
            </w:pPr>
            <w:r w:rsidRPr="00F322D0">
              <w:rPr>
                <w:rFonts w:ascii="Times New Roman" w:hAnsi="Times New Roman"/>
              </w:rPr>
              <w:t xml:space="preserve">a. </w:t>
            </w:r>
            <w:r w:rsidR="0020574E" w:rsidRPr="00F322D0">
              <w:rPr>
                <w:rFonts w:ascii="Times New Roman" w:hAnsi="Times New Roman"/>
              </w:rPr>
              <w:t xml:space="preserve">By </w:t>
            </w:r>
            <w:r w:rsidR="00130933">
              <w:rPr>
                <w:rFonts w:ascii="Times New Roman" w:hAnsi="Times New Roman"/>
              </w:rPr>
              <w:t>p</w:t>
            </w:r>
            <w:r w:rsidR="0020574E" w:rsidRPr="00F322D0">
              <w:rPr>
                <w:rFonts w:ascii="Times New Roman" w:hAnsi="Times New Roman"/>
              </w:rPr>
              <w:t>ayer, for 2019, include any categories of services for aligned beneficiaries that will be included in your contracts for determination of the ACO’s savings or losses that are different from Medicare Part A and B services. In addition, please include a copy of each contract’s language.</w:t>
            </w:r>
          </w:p>
        </w:tc>
      </w:tr>
      <w:tr w:rsidR="0020574E" w:rsidRPr="00F322D0" w14:paraId="72AB3E22" w14:textId="77777777" w:rsidTr="00F322D0">
        <w:tc>
          <w:tcPr>
            <w:tcW w:w="1304" w:type="dxa"/>
          </w:tcPr>
          <w:p w14:paraId="0254B9FF" w14:textId="77777777" w:rsidR="0020574E" w:rsidRPr="00F322D0" w:rsidRDefault="0020574E" w:rsidP="006511C8">
            <w:pPr>
              <w:rPr>
                <w:rFonts w:ascii="Times New Roman" w:hAnsi="Times New Roman"/>
              </w:rPr>
            </w:pPr>
            <w:r w:rsidRPr="00F322D0">
              <w:rPr>
                <w:rFonts w:ascii="Times New Roman" w:hAnsi="Times New Roman"/>
              </w:rPr>
              <w:t>Commercial</w:t>
            </w:r>
          </w:p>
          <w:p w14:paraId="07701CB8" w14:textId="77777777" w:rsidR="0020574E" w:rsidRPr="00F322D0" w:rsidRDefault="0020574E" w:rsidP="006511C8">
            <w:pPr>
              <w:rPr>
                <w:rFonts w:ascii="Times New Roman" w:hAnsi="Times New Roman"/>
              </w:rPr>
            </w:pPr>
          </w:p>
        </w:tc>
        <w:tc>
          <w:tcPr>
            <w:tcW w:w="8063" w:type="dxa"/>
          </w:tcPr>
          <w:p w14:paraId="730A7158" w14:textId="77777777" w:rsidR="0020574E" w:rsidRPr="00F322D0" w:rsidRDefault="0020574E" w:rsidP="006511C8">
            <w:pPr>
              <w:rPr>
                <w:rFonts w:ascii="Times New Roman" w:hAnsi="Times New Roman"/>
              </w:rPr>
            </w:pPr>
          </w:p>
        </w:tc>
      </w:tr>
      <w:tr w:rsidR="0020574E" w:rsidRPr="00F322D0" w14:paraId="650DEFC5" w14:textId="77777777" w:rsidTr="00F322D0">
        <w:tc>
          <w:tcPr>
            <w:tcW w:w="1304" w:type="dxa"/>
          </w:tcPr>
          <w:p w14:paraId="2E7B951D" w14:textId="77777777" w:rsidR="0020574E" w:rsidRPr="00F322D0" w:rsidRDefault="0020574E" w:rsidP="006511C8">
            <w:pPr>
              <w:rPr>
                <w:rFonts w:ascii="Times New Roman" w:hAnsi="Times New Roman"/>
              </w:rPr>
            </w:pPr>
            <w:r w:rsidRPr="00F322D0">
              <w:rPr>
                <w:rFonts w:ascii="Times New Roman" w:hAnsi="Times New Roman"/>
              </w:rPr>
              <w:t xml:space="preserve">Commercial Self-Funded </w:t>
            </w:r>
          </w:p>
          <w:p w14:paraId="56144FA0" w14:textId="77777777" w:rsidR="0020574E" w:rsidRPr="00F322D0" w:rsidRDefault="0020574E" w:rsidP="006511C8">
            <w:pPr>
              <w:rPr>
                <w:rFonts w:ascii="Times New Roman" w:hAnsi="Times New Roman"/>
              </w:rPr>
            </w:pPr>
          </w:p>
        </w:tc>
        <w:tc>
          <w:tcPr>
            <w:tcW w:w="8063" w:type="dxa"/>
          </w:tcPr>
          <w:p w14:paraId="643FA203" w14:textId="77777777" w:rsidR="0020574E" w:rsidRPr="00F322D0" w:rsidRDefault="0020574E" w:rsidP="006511C8">
            <w:pPr>
              <w:rPr>
                <w:rFonts w:ascii="Times New Roman" w:hAnsi="Times New Roman"/>
              </w:rPr>
            </w:pPr>
          </w:p>
          <w:p w14:paraId="783734B6" w14:textId="77777777" w:rsidR="0020574E" w:rsidRPr="00F322D0" w:rsidRDefault="0020574E" w:rsidP="006511C8">
            <w:pPr>
              <w:rPr>
                <w:rFonts w:ascii="Times New Roman" w:hAnsi="Times New Roman"/>
              </w:rPr>
            </w:pPr>
          </w:p>
          <w:p w14:paraId="78EE3255" w14:textId="77777777" w:rsidR="0020574E" w:rsidRPr="00F322D0" w:rsidRDefault="0020574E" w:rsidP="006511C8">
            <w:pPr>
              <w:rPr>
                <w:rFonts w:ascii="Times New Roman" w:hAnsi="Times New Roman"/>
              </w:rPr>
            </w:pPr>
          </w:p>
        </w:tc>
      </w:tr>
      <w:tr w:rsidR="0020574E" w:rsidRPr="00F322D0" w14:paraId="2DA5FE1F" w14:textId="77777777" w:rsidTr="00F322D0">
        <w:tc>
          <w:tcPr>
            <w:tcW w:w="1304" w:type="dxa"/>
            <w:tcBorders>
              <w:bottom w:val="single" w:sz="4" w:space="0" w:color="auto"/>
            </w:tcBorders>
          </w:tcPr>
          <w:p w14:paraId="62B4535F" w14:textId="77777777" w:rsidR="0020574E" w:rsidRPr="00F322D0" w:rsidRDefault="0020574E" w:rsidP="006511C8">
            <w:pPr>
              <w:rPr>
                <w:rFonts w:ascii="Times New Roman" w:hAnsi="Times New Roman"/>
              </w:rPr>
            </w:pPr>
            <w:r w:rsidRPr="00F322D0">
              <w:rPr>
                <w:rFonts w:ascii="Times New Roman" w:hAnsi="Times New Roman"/>
              </w:rPr>
              <w:t>Medicaid</w:t>
            </w:r>
          </w:p>
          <w:p w14:paraId="3AEF588D" w14:textId="77777777" w:rsidR="0020574E" w:rsidRPr="00F322D0" w:rsidRDefault="0020574E" w:rsidP="006511C8">
            <w:pPr>
              <w:rPr>
                <w:rFonts w:ascii="Times New Roman" w:hAnsi="Times New Roman"/>
              </w:rPr>
            </w:pPr>
          </w:p>
        </w:tc>
        <w:tc>
          <w:tcPr>
            <w:tcW w:w="8063" w:type="dxa"/>
            <w:tcBorders>
              <w:bottom w:val="single" w:sz="4" w:space="0" w:color="auto"/>
            </w:tcBorders>
          </w:tcPr>
          <w:p w14:paraId="0B24E86D" w14:textId="77777777" w:rsidR="0020574E" w:rsidRPr="00F322D0" w:rsidRDefault="0020574E" w:rsidP="006511C8">
            <w:pPr>
              <w:rPr>
                <w:rFonts w:ascii="Times New Roman" w:hAnsi="Times New Roman"/>
              </w:rPr>
            </w:pPr>
          </w:p>
          <w:p w14:paraId="21F550DA" w14:textId="77777777" w:rsidR="0020574E" w:rsidRPr="00F322D0" w:rsidRDefault="0020574E" w:rsidP="006511C8">
            <w:pPr>
              <w:rPr>
                <w:rFonts w:ascii="Times New Roman" w:hAnsi="Times New Roman"/>
              </w:rPr>
            </w:pPr>
          </w:p>
          <w:p w14:paraId="5B2B77F6" w14:textId="77777777" w:rsidR="0020574E" w:rsidRPr="00F322D0" w:rsidRDefault="0020574E" w:rsidP="006511C8">
            <w:pPr>
              <w:rPr>
                <w:rFonts w:ascii="Times New Roman" w:hAnsi="Times New Roman"/>
              </w:rPr>
            </w:pPr>
          </w:p>
        </w:tc>
      </w:tr>
      <w:tr w:rsidR="0020574E" w:rsidRPr="00F322D0" w14:paraId="0A688A12" w14:textId="77777777" w:rsidTr="00F322D0">
        <w:tc>
          <w:tcPr>
            <w:tcW w:w="1304" w:type="dxa"/>
            <w:tcBorders>
              <w:bottom w:val="single" w:sz="4" w:space="0" w:color="auto"/>
            </w:tcBorders>
          </w:tcPr>
          <w:p w14:paraId="5412B85D" w14:textId="77777777" w:rsidR="0020574E" w:rsidRPr="00F322D0" w:rsidRDefault="0020574E" w:rsidP="006511C8">
            <w:pPr>
              <w:rPr>
                <w:rFonts w:ascii="Times New Roman" w:hAnsi="Times New Roman"/>
              </w:rPr>
            </w:pPr>
            <w:r w:rsidRPr="00F322D0">
              <w:rPr>
                <w:rFonts w:ascii="Times New Roman" w:hAnsi="Times New Roman"/>
              </w:rPr>
              <w:t>Medicare</w:t>
            </w:r>
          </w:p>
        </w:tc>
        <w:tc>
          <w:tcPr>
            <w:tcW w:w="8063" w:type="dxa"/>
            <w:tcBorders>
              <w:bottom w:val="single" w:sz="4" w:space="0" w:color="auto"/>
            </w:tcBorders>
          </w:tcPr>
          <w:p w14:paraId="6D379E1A" w14:textId="77777777" w:rsidR="0020574E" w:rsidRPr="00F322D0" w:rsidRDefault="0020574E" w:rsidP="006511C8">
            <w:pPr>
              <w:rPr>
                <w:rFonts w:ascii="Times New Roman" w:hAnsi="Times New Roman"/>
              </w:rPr>
            </w:pPr>
          </w:p>
          <w:p w14:paraId="09B92EE1" w14:textId="77777777" w:rsidR="0020574E" w:rsidRPr="00F322D0" w:rsidRDefault="0020574E" w:rsidP="006511C8">
            <w:pPr>
              <w:rPr>
                <w:rFonts w:ascii="Times New Roman" w:hAnsi="Times New Roman"/>
              </w:rPr>
            </w:pPr>
          </w:p>
          <w:p w14:paraId="204822B7" w14:textId="77777777" w:rsidR="0020574E" w:rsidRPr="00F322D0" w:rsidRDefault="0020574E" w:rsidP="006511C8">
            <w:pPr>
              <w:rPr>
                <w:rFonts w:ascii="Times New Roman" w:hAnsi="Times New Roman"/>
              </w:rPr>
            </w:pPr>
          </w:p>
        </w:tc>
      </w:tr>
      <w:tr w:rsidR="0020574E" w:rsidRPr="00F322D0" w14:paraId="07D41DBC" w14:textId="77777777" w:rsidTr="00F322D0">
        <w:tc>
          <w:tcPr>
            <w:tcW w:w="9367" w:type="dxa"/>
            <w:gridSpan w:val="2"/>
            <w:tcBorders>
              <w:top w:val="single" w:sz="4" w:space="0" w:color="auto"/>
              <w:left w:val="nil"/>
              <w:bottom w:val="single" w:sz="4" w:space="0" w:color="auto"/>
              <w:right w:val="nil"/>
            </w:tcBorders>
          </w:tcPr>
          <w:p w14:paraId="678581DE" w14:textId="77777777" w:rsidR="0020574E" w:rsidRPr="00F322D0" w:rsidRDefault="0020574E" w:rsidP="006511C8">
            <w:pPr>
              <w:rPr>
                <w:rFonts w:ascii="Times New Roman" w:hAnsi="Times New Roman"/>
              </w:rPr>
            </w:pPr>
          </w:p>
        </w:tc>
      </w:tr>
      <w:tr w:rsidR="0020574E" w:rsidRPr="00F322D0" w14:paraId="6AE6530D" w14:textId="77777777" w:rsidTr="00F322D0">
        <w:tc>
          <w:tcPr>
            <w:tcW w:w="9367" w:type="dxa"/>
            <w:gridSpan w:val="2"/>
            <w:tcBorders>
              <w:top w:val="single" w:sz="4" w:space="0" w:color="auto"/>
            </w:tcBorders>
            <w:shd w:val="clear" w:color="auto" w:fill="F2F2F2" w:themeFill="background1" w:themeFillShade="F2"/>
          </w:tcPr>
          <w:p w14:paraId="6F8560FA" w14:textId="51D67465" w:rsidR="0020574E" w:rsidRPr="00F322D0" w:rsidRDefault="00F322D0" w:rsidP="00F322D0">
            <w:pPr>
              <w:rPr>
                <w:rFonts w:ascii="Times New Roman" w:hAnsi="Times New Roman"/>
              </w:rPr>
            </w:pPr>
            <w:r w:rsidRPr="00F322D0">
              <w:rPr>
                <w:rFonts w:ascii="Times New Roman" w:hAnsi="Times New Roman"/>
              </w:rPr>
              <w:t xml:space="preserve">b. </w:t>
            </w:r>
            <w:r w:rsidR="0020574E" w:rsidRPr="00F322D0">
              <w:rPr>
                <w:rFonts w:ascii="Times New Roman" w:hAnsi="Times New Roman"/>
              </w:rPr>
              <w:t>By payer, describe how the proposed ACO benchmark, capitation payment, AIPBP, shared savings and losses, or any other financial incentive programs are tied to quality of care or health of aligned beneficiaries (i.e. percentage of revenues withheld for quality incentive payments, uses of withholds: incentives tied to provider-level, HSA-level or ACO-level results). In addition, please include a copy of each contract’s language.</w:t>
            </w:r>
          </w:p>
        </w:tc>
      </w:tr>
      <w:tr w:rsidR="0020574E" w:rsidRPr="00F322D0" w14:paraId="3BF91276" w14:textId="77777777" w:rsidTr="00F322D0">
        <w:tc>
          <w:tcPr>
            <w:tcW w:w="1304" w:type="dxa"/>
          </w:tcPr>
          <w:p w14:paraId="210CF9DC" w14:textId="77777777" w:rsidR="0020574E" w:rsidRPr="00F322D0" w:rsidRDefault="0020574E" w:rsidP="006511C8">
            <w:pPr>
              <w:rPr>
                <w:rFonts w:ascii="Times New Roman" w:hAnsi="Times New Roman"/>
              </w:rPr>
            </w:pPr>
            <w:r w:rsidRPr="00F322D0">
              <w:rPr>
                <w:rFonts w:ascii="Times New Roman" w:hAnsi="Times New Roman"/>
              </w:rPr>
              <w:t>Commercial</w:t>
            </w:r>
          </w:p>
        </w:tc>
        <w:tc>
          <w:tcPr>
            <w:tcW w:w="8063" w:type="dxa"/>
          </w:tcPr>
          <w:p w14:paraId="09DA2233" w14:textId="77777777" w:rsidR="0020574E" w:rsidRPr="00F322D0" w:rsidRDefault="0020574E" w:rsidP="006511C8">
            <w:pPr>
              <w:rPr>
                <w:rFonts w:ascii="Times New Roman" w:hAnsi="Times New Roman"/>
              </w:rPr>
            </w:pPr>
          </w:p>
          <w:p w14:paraId="105EB7A0" w14:textId="77777777" w:rsidR="0020574E" w:rsidRPr="00F322D0" w:rsidRDefault="0020574E" w:rsidP="006511C8">
            <w:pPr>
              <w:rPr>
                <w:rFonts w:ascii="Times New Roman" w:hAnsi="Times New Roman"/>
              </w:rPr>
            </w:pPr>
          </w:p>
          <w:p w14:paraId="1CB73857" w14:textId="77777777" w:rsidR="0020574E" w:rsidRPr="00F322D0" w:rsidRDefault="0020574E" w:rsidP="006511C8">
            <w:pPr>
              <w:rPr>
                <w:rFonts w:ascii="Times New Roman" w:hAnsi="Times New Roman"/>
              </w:rPr>
            </w:pPr>
          </w:p>
        </w:tc>
      </w:tr>
      <w:tr w:rsidR="0020574E" w:rsidRPr="00F322D0" w14:paraId="4459E1E4" w14:textId="77777777" w:rsidTr="00F322D0">
        <w:tc>
          <w:tcPr>
            <w:tcW w:w="1304" w:type="dxa"/>
          </w:tcPr>
          <w:p w14:paraId="5D45FCD3" w14:textId="77777777" w:rsidR="0020574E" w:rsidRPr="00F322D0" w:rsidRDefault="0020574E" w:rsidP="006511C8">
            <w:pPr>
              <w:rPr>
                <w:rFonts w:ascii="Times New Roman" w:hAnsi="Times New Roman"/>
              </w:rPr>
            </w:pPr>
            <w:r w:rsidRPr="00F322D0">
              <w:rPr>
                <w:rFonts w:ascii="Times New Roman" w:hAnsi="Times New Roman"/>
              </w:rPr>
              <w:t>Commercial</w:t>
            </w:r>
          </w:p>
          <w:p w14:paraId="61012130" w14:textId="77777777" w:rsidR="0020574E" w:rsidRPr="00F322D0" w:rsidRDefault="0020574E" w:rsidP="006511C8">
            <w:pPr>
              <w:rPr>
                <w:rFonts w:ascii="Times New Roman" w:hAnsi="Times New Roman"/>
              </w:rPr>
            </w:pPr>
            <w:r w:rsidRPr="00F322D0">
              <w:rPr>
                <w:rFonts w:ascii="Times New Roman" w:hAnsi="Times New Roman"/>
              </w:rPr>
              <w:t xml:space="preserve">Self-Funded </w:t>
            </w:r>
          </w:p>
        </w:tc>
        <w:tc>
          <w:tcPr>
            <w:tcW w:w="8063" w:type="dxa"/>
          </w:tcPr>
          <w:p w14:paraId="036315EB" w14:textId="77777777" w:rsidR="0020574E" w:rsidRPr="00F322D0" w:rsidRDefault="0020574E" w:rsidP="006511C8">
            <w:pPr>
              <w:rPr>
                <w:rFonts w:ascii="Times New Roman" w:hAnsi="Times New Roman"/>
              </w:rPr>
            </w:pPr>
          </w:p>
          <w:p w14:paraId="0B4C85EE" w14:textId="77777777" w:rsidR="0020574E" w:rsidRPr="00F322D0" w:rsidRDefault="0020574E" w:rsidP="006511C8">
            <w:pPr>
              <w:rPr>
                <w:rFonts w:ascii="Times New Roman" w:hAnsi="Times New Roman"/>
              </w:rPr>
            </w:pPr>
          </w:p>
          <w:p w14:paraId="11BABFB9" w14:textId="77777777" w:rsidR="0020574E" w:rsidRPr="00F322D0" w:rsidRDefault="0020574E" w:rsidP="006511C8">
            <w:pPr>
              <w:rPr>
                <w:rFonts w:ascii="Times New Roman" w:hAnsi="Times New Roman"/>
              </w:rPr>
            </w:pPr>
          </w:p>
        </w:tc>
      </w:tr>
      <w:tr w:rsidR="0020574E" w:rsidRPr="00F322D0" w14:paraId="6A094047" w14:textId="77777777" w:rsidTr="00F322D0">
        <w:tc>
          <w:tcPr>
            <w:tcW w:w="1304" w:type="dxa"/>
          </w:tcPr>
          <w:p w14:paraId="473BBED2" w14:textId="77777777" w:rsidR="0020574E" w:rsidRPr="00F322D0" w:rsidRDefault="0020574E" w:rsidP="006511C8">
            <w:pPr>
              <w:rPr>
                <w:rFonts w:ascii="Times New Roman" w:hAnsi="Times New Roman"/>
              </w:rPr>
            </w:pPr>
            <w:r w:rsidRPr="00F322D0">
              <w:rPr>
                <w:rFonts w:ascii="Times New Roman" w:hAnsi="Times New Roman"/>
              </w:rPr>
              <w:t>Medicaid</w:t>
            </w:r>
          </w:p>
        </w:tc>
        <w:tc>
          <w:tcPr>
            <w:tcW w:w="8063" w:type="dxa"/>
          </w:tcPr>
          <w:p w14:paraId="5A1453B5" w14:textId="77777777" w:rsidR="0020574E" w:rsidRPr="00F322D0" w:rsidRDefault="0020574E" w:rsidP="006511C8">
            <w:pPr>
              <w:rPr>
                <w:rFonts w:ascii="Times New Roman" w:hAnsi="Times New Roman"/>
              </w:rPr>
            </w:pPr>
          </w:p>
          <w:p w14:paraId="58DC234A" w14:textId="77777777" w:rsidR="0020574E" w:rsidRPr="00F322D0" w:rsidRDefault="0020574E" w:rsidP="006511C8">
            <w:pPr>
              <w:rPr>
                <w:rFonts w:ascii="Times New Roman" w:hAnsi="Times New Roman"/>
              </w:rPr>
            </w:pPr>
          </w:p>
          <w:p w14:paraId="1042B43D" w14:textId="77777777" w:rsidR="0020574E" w:rsidRPr="00F322D0" w:rsidRDefault="0020574E" w:rsidP="006511C8">
            <w:pPr>
              <w:rPr>
                <w:rFonts w:ascii="Times New Roman" w:hAnsi="Times New Roman"/>
              </w:rPr>
            </w:pPr>
          </w:p>
        </w:tc>
      </w:tr>
      <w:tr w:rsidR="0020574E" w:rsidRPr="00F322D0" w14:paraId="32887D00" w14:textId="77777777" w:rsidTr="00F322D0">
        <w:tc>
          <w:tcPr>
            <w:tcW w:w="1304" w:type="dxa"/>
            <w:tcBorders>
              <w:bottom w:val="single" w:sz="4" w:space="0" w:color="auto"/>
            </w:tcBorders>
          </w:tcPr>
          <w:p w14:paraId="7FF3E5DD" w14:textId="77777777" w:rsidR="0020574E" w:rsidRPr="00F322D0" w:rsidRDefault="0020574E" w:rsidP="006511C8">
            <w:pPr>
              <w:rPr>
                <w:rFonts w:ascii="Times New Roman" w:hAnsi="Times New Roman"/>
              </w:rPr>
            </w:pPr>
            <w:r w:rsidRPr="00F322D0">
              <w:rPr>
                <w:rFonts w:ascii="Times New Roman" w:hAnsi="Times New Roman"/>
              </w:rPr>
              <w:t>Medicare</w:t>
            </w:r>
          </w:p>
        </w:tc>
        <w:tc>
          <w:tcPr>
            <w:tcW w:w="8063" w:type="dxa"/>
            <w:tcBorders>
              <w:bottom w:val="single" w:sz="4" w:space="0" w:color="auto"/>
            </w:tcBorders>
          </w:tcPr>
          <w:p w14:paraId="4AC65C13" w14:textId="77777777" w:rsidR="0020574E" w:rsidRPr="00F322D0" w:rsidRDefault="0020574E" w:rsidP="006511C8">
            <w:pPr>
              <w:rPr>
                <w:rFonts w:ascii="Times New Roman" w:hAnsi="Times New Roman"/>
              </w:rPr>
            </w:pPr>
          </w:p>
          <w:p w14:paraId="36C72A6E" w14:textId="77777777" w:rsidR="0020574E" w:rsidRPr="00F322D0" w:rsidRDefault="0020574E" w:rsidP="006511C8">
            <w:pPr>
              <w:rPr>
                <w:rFonts w:ascii="Times New Roman" w:hAnsi="Times New Roman"/>
              </w:rPr>
            </w:pPr>
          </w:p>
          <w:p w14:paraId="11B39C86" w14:textId="77777777" w:rsidR="0020574E" w:rsidRPr="00F322D0" w:rsidRDefault="0020574E" w:rsidP="006511C8">
            <w:pPr>
              <w:rPr>
                <w:rFonts w:ascii="Times New Roman" w:hAnsi="Times New Roman"/>
              </w:rPr>
            </w:pPr>
          </w:p>
        </w:tc>
      </w:tr>
      <w:tr w:rsidR="0020574E" w:rsidRPr="00F322D0" w14:paraId="2F9A80E6" w14:textId="77777777" w:rsidTr="00F322D0">
        <w:tc>
          <w:tcPr>
            <w:tcW w:w="9367" w:type="dxa"/>
            <w:gridSpan w:val="2"/>
            <w:shd w:val="clear" w:color="auto" w:fill="F2F2F2" w:themeFill="background1" w:themeFillShade="F2"/>
          </w:tcPr>
          <w:p w14:paraId="0FBBB850" w14:textId="683C492C" w:rsidR="0020574E" w:rsidRPr="00F322D0" w:rsidRDefault="00F322D0" w:rsidP="00F322D0">
            <w:pPr>
              <w:keepNext/>
              <w:rPr>
                <w:rFonts w:ascii="Times New Roman" w:hAnsi="Times New Roman"/>
              </w:rPr>
            </w:pPr>
            <w:r w:rsidRPr="00F322D0">
              <w:rPr>
                <w:rFonts w:ascii="Times New Roman" w:hAnsi="Times New Roman"/>
              </w:rPr>
              <w:lastRenderedPageBreak/>
              <w:t xml:space="preserve">c. </w:t>
            </w:r>
            <w:r w:rsidR="0020574E" w:rsidRPr="00F322D0">
              <w:rPr>
                <w:rFonts w:ascii="Times New Roman" w:hAnsi="Times New Roman"/>
              </w:rPr>
              <w:t>By payer and line of business, describe the current or proposed methodology for beneficiary/member alignment (also known as attribution). In addition, please include a copy of each contract’s language.</w:t>
            </w:r>
          </w:p>
        </w:tc>
      </w:tr>
      <w:tr w:rsidR="0020574E" w:rsidRPr="00F322D0" w14:paraId="6AC4CC0B" w14:textId="77777777" w:rsidTr="00F322D0">
        <w:tc>
          <w:tcPr>
            <w:tcW w:w="1304" w:type="dxa"/>
          </w:tcPr>
          <w:p w14:paraId="554FB4FF" w14:textId="77777777" w:rsidR="0020574E" w:rsidRPr="00F322D0" w:rsidRDefault="0020574E" w:rsidP="00F322D0">
            <w:pPr>
              <w:keepNext/>
              <w:rPr>
                <w:rFonts w:ascii="Times New Roman" w:hAnsi="Times New Roman"/>
              </w:rPr>
            </w:pPr>
            <w:r w:rsidRPr="00F322D0">
              <w:rPr>
                <w:rFonts w:ascii="Times New Roman" w:hAnsi="Times New Roman"/>
              </w:rPr>
              <w:t>Commercial</w:t>
            </w:r>
          </w:p>
        </w:tc>
        <w:tc>
          <w:tcPr>
            <w:tcW w:w="8063" w:type="dxa"/>
          </w:tcPr>
          <w:p w14:paraId="6DDF7260" w14:textId="77777777" w:rsidR="0020574E" w:rsidRPr="00F322D0" w:rsidRDefault="0020574E" w:rsidP="00F322D0">
            <w:pPr>
              <w:keepNext/>
              <w:rPr>
                <w:rFonts w:ascii="Times New Roman" w:hAnsi="Times New Roman"/>
              </w:rPr>
            </w:pPr>
          </w:p>
          <w:p w14:paraId="3033C19D" w14:textId="77777777" w:rsidR="0020574E" w:rsidRPr="00F322D0" w:rsidRDefault="0020574E" w:rsidP="00F322D0">
            <w:pPr>
              <w:keepNext/>
              <w:rPr>
                <w:rFonts w:ascii="Times New Roman" w:hAnsi="Times New Roman"/>
              </w:rPr>
            </w:pPr>
          </w:p>
          <w:p w14:paraId="4C977DE0" w14:textId="77777777" w:rsidR="0020574E" w:rsidRPr="00F322D0" w:rsidRDefault="0020574E" w:rsidP="00F322D0">
            <w:pPr>
              <w:keepNext/>
              <w:rPr>
                <w:rFonts w:ascii="Times New Roman" w:hAnsi="Times New Roman"/>
              </w:rPr>
            </w:pPr>
          </w:p>
        </w:tc>
      </w:tr>
      <w:tr w:rsidR="0020574E" w:rsidRPr="00F322D0" w14:paraId="38D67827" w14:textId="77777777" w:rsidTr="00F322D0">
        <w:tc>
          <w:tcPr>
            <w:tcW w:w="1304" w:type="dxa"/>
          </w:tcPr>
          <w:p w14:paraId="1AD4C1C0" w14:textId="77777777" w:rsidR="0020574E" w:rsidRPr="00F322D0" w:rsidRDefault="0020574E" w:rsidP="00F322D0">
            <w:pPr>
              <w:keepNext/>
              <w:rPr>
                <w:rFonts w:ascii="Times New Roman" w:hAnsi="Times New Roman"/>
              </w:rPr>
            </w:pPr>
            <w:r w:rsidRPr="00F322D0">
              <w:rPr>
                <w:rFonts w:ascii="Times New Roman" w:hAnsi="Times New Roman"/>
              </w:rPr>
              <w:t>Commercial</w:t>
            </w:r>
          </w:p>
          <w:p w14:paraId="6F19B10C" w14:textId="77777777" w:rsidR="0020574E" w:rsidRPr="00F322D0" w:rsidRDefault="0020574E" w:rsidP="00F322D0">
            <w:pPr>
              <w:keepNext/>
              <w:rPr>
                <w:rFonts w:ascii="Times New Roman" w:hAnsi="Times New Roman"/>
              </w:rPr>
            </w:pPr>
            <w:r w:rsidRPr="00F322D0">
              <w:rPr>
                <w:rFonts w:ascii="Times New Roman" w:hAnsi="Times New Roman"/>
              </w:rPr>
              <w:t xml:space="preserve">Self-Funded </w:t>
            </w:r>
          </w:p>
        </w:tc>
        <w:tc>
          <w:tcPr>
            <w:tcW w:w="8063" w:type="dxa"/>
          </w:tcPr>
          <w:p w14:paraId="47AA1271" w14:textId="77777777" w:rsidR="0020574E" w:rsidRPr="00F322D0" w:rsidRDefault="0020574E" w:rsidP="00F322D0">
            <w:pPr>
              <w:keepNext/>
              <w:rPr>
                <w:rFonts w:ascii="Times New Roman" w:hAnsi="Times New Roman"/>
              </w:rPr>
            </w:pPr>
          </w:p>
          <w:p w14:paraId="62926745" w14:textId="77777777" w:rsidR="0020574E" w:rsidRPr="00F322D0" w:rsidRDefault="0020574E" w:rsidP="00F322D0">
            <w:pPr>
              <w:keepNext/>
              <w:rPr>
                <w:rFonts w:ascii="Times New Roman" w:hAnsi="Times New Roman"/>
              </w:rPr>
            </w:pPr>
          </w:p>
          <w:p w14:paraId="2590A353" w14:textId="77777777" w:rsidR="0020574E" w:rsidRPr="00F322D0" w:rsidRDefault="0020574E" w:rsidP="00F322D0">
            <w:pPr>
              <w:keepNext/>
              <w:rPr>
                <w:rFonts w:ascii="Times New Roman" w:hAnsi="Times New Roman"/>
              </w:rPr>
            </w:pPr>
          </w:p>
        </w:tc>
      </w:tr>
      <w:tr w:rsidR="0020574E" w:rsidRPr="00F322D0" w14:paraId="4E2D1131" w14:textId="77777777" w:rsidTr="00F322D0">
        <w:tc>
          <w:tcPr>
            <w:tcW w:w="1304" w:type="dxa"/>
          </w:tcPr>
          <w:p w14:paraId="16CC3135" w14:textId="77777777" w:rsidR="0020574E" w:rsidRPr="00F322D0" w:rsidRDefault="0020574E" w:rsidP="00F322D0">
            <w:pPr>
              <w:keepNext/>
              <w:rPr>
                <w:rFonts w:ascii="Times New Roman" w:hAnsi="Times New Roman"/>
              </w:rPr>
            </w:pPr>
            <w:r w:rsidRPr="00F322D0">
              <w:rPr>
                <w:rFonts w:ascii="Times New Roman" w:hAnsi="Times New Roman"/>
              </w:rPr>
              <w:t>Medicaid</w:t>
            </w:r>
          </w:p>
        </w:tc>
        <w:tc>
          <w:tcPr>
            <w:tcW w:w="8063" w:type="dxa"/>
          </w:tcPr>
          <w:p w14:paraId="32888B35" w14:textId="77777777" w:rsidR="0020574E" w:rsidRPr="00F322D0" w:rsidRDefault="0020574E" w:rsidP="00F322D0">
            <w:pPr>
              <w:keepNext/>
              <w:rPr>
                <w:rFonts w:ascii="Times New Roman" w:hAnsi="Times New Roman"/>
              </w:rPr>
            </w:pPr>
          </w:p>
          <w:p w14:paraId="3B5138A3" w14:textId="77777777" w:rsidR="0020574E" w:rsidRPr="00F322D0" w:rsidRDefault="0020574E" w:rsidP="00F322D0">
            <w:pPr>
              <w:keepNext/>
              <w:rPr>
                <w:rFonts w:ascii="Times New Roman" w:hAnsi="Times New Roman"/>
              </w:rPr>
            </w:pPr>
          </w:p>
          <w:p w14:paraId="35F68A86" w14:textId="77777777" w:rsidR="0020574E" w:rsidRPr="00F322D0" w:rsidRDefault="0020574E" w:rsidP="00F322D0">
            <w:pPr>
              <w:keepNext/>
              <w:rPr>
                <w:rFonts w:ascii="Times New Roman" w:hAnsi="Times New Roman"/>
              </w:rPr>
            </w:pPr>
          </w:p>
        </w:tc>
      </w:tr>
      <w:tr w:rsidR="0020574E" w:rsidRPr="00F322D0" w14:paraId="507976A0" w14:textId="77777777" w:rsidTr="00F322D0">
        <w:tc>
          <w:tcPr>
            <w:tcW w:w="1304" w:type="dxa"/>
            <w:tcBorders>
              <w:bottom w:val="single" w:sz="4" w:space="0" w:color="auto"/>
            </w:tcBorders>
          </w:tcPr>
          <w:p w14:paraId="31F96ED3" w14:textId="77777777" w:rsidR="0020574E" w:rsidRPr="00F322D0" w:rsidRDefault="0020574E" w:rsidP="00F322D0">
            <w:pPr>
              <w:keepNext/>
              <w:rPr>
                <w:rFonts w:ascii="Times New Roman" w:hAnsi="Times New Roman"/>
              </w:rPr>
            </w:pPr>
            <w:r w:rsidRPr="00F322D0">
              <w:rPr>
                <w:rFonts w:ascii="Times New Roman" w:hAnsi="Times New Roman"/>
              </w:rPr>
              <w:t>Medicare</w:t>
            </w:r>
          </w:p>
        </w:tc>
        <w:tc>
          <w:tcPr>
            <w:tcW w:w="8063" w:type="dxa"/>
            <w:tcBorders>
              <w:bottom w:val="single" w:sz="4" w:space="0" w:color="auto"/>
            </w:tcBorders>
          </w:tcPr>
          <w:p w14:paraId="491D6F51" w14:textId="77777777" w:rsidR="0020574E" w:rsidRPr="00F322D0" w:rsidRDefault="0020574E" w:rsidP="00F322D0">
            <w:pPr>
              <w:keepNext/>
              <w:rPr>
                <w:rFonts w:ascii="Times New Roman" w:hAnsi="Times New Roman"/>
              </w:rPr>
            </w:pPr>
          </w:p>
          <w:p w14:paraId="09444807" w14:textId="77777777" w:rsidR="0020574E" w:rsidRPr="00F322D0" w:rsidRDefault="0020574E" w:rsidP="00F322D0">
            <w:pPr>
              <w:keepNext/>
              <w:rPr>
                <w:rFonts w:ascii="Times New Roman" w:hAnsi="Times New Roman"/>
              </w:rPr>
            </w:pPr>
          </w:p>
          <w:p w14:paraId="1B8BE09A" w14:textId="77777777" w:rsidR="0020574E" w:rsidRPr="00F322D0" w:rsidRDefault="0020574E" w:rsidP="00F322D0">
            <w:pPr>
              <w:keepNext/>
              <w:rPr>
                <w:rFonts w:ascii="Times New Roman" w:hAnsi="Times New Roman"/>
              </w:rPr>
            </w:pPr>
          </w:p>
          <w:p w14:paraId="6034464A" w14:textId="77777777" w:rsidR="0020574E" w:rsidRPr="00F322D0" w:rsidRDefault="0020574E" w:rsidP="00F322D0">
            <w:pPr>
              <w:keepNext/>
              <w:rPr>
                <w:rFonts w:ascii="Times New Roman" w:hAnsi="Times New Roman"/>
              </w:rPr>
            </w:pPr>
          </w:p>
        </w:tc>
      </w:tr>
      <w:tr w:rsidR="0020574E" w:rsidRPr="00F322D0" w14:paraId="52D37440" w14:textId="77777777" w:rsidTr="00F322D0">
        <w:tc>
          <w:tcPr>
            <w:tcW w:w="9367" w:type="dxa"/>
            <w:gridSpan w:val="2"/>
            <w:tcBorders>
              <w:left w:val="nil"/>
              <w:right w:val="nil"/>
            </w:tcBorders>
          </w:tcPr>
          <w:p w14:paraId="5EC8A79F" w14:textId="77777777" w:rsidR="0020574E" w:rsidRPr="00F322D0" w:rsidRDefault="0020574E" w:rsidP="006511C8">
            <w:pPr>
              <w:rPr>
                <w:rFonts w:ascii="Times New Roman" w:hAnsi="Times New Roman"/>
              </w:rPr>
            </w:pPr>
          </w:p>
        </w:tc>
      </w:tr>
      <w:tr w:rsidR="0020574E" w:rsidRPr="00F322D0" w14:paraId="76937171" w14:textId="77777777" w:rsidTr="00F322D0">
        <w:tc>
          <w:tcPr>
            <w:tcW w:w="9367" w:type="dxa"/>
            <w:gridSpan w:val="2"/>
            <w:shd w:val="clear" w:color="auto" w:fill="F2F2F2" w:themeFill="background1" w:themeFillShade="F2"/>
          </w:tcPr>
          <w:p w14:paraId="151F8DE6" w14:textId="36D36D20" w:rsidR="0020574E" w:rsidRPr="00F322D0" w:rsidRDefault="00F322D0" w:rsidP="00F322D0">
            <w:pPr>
              <w:rPr>
                <w:rFonts w:ascii="Times New Roman" w:hAnsi="Times New Roman"/>
              </w:rPr>
            </w:pPr>
            <w:bookmarkStart w:id="8" w:name="_Hlk514158328"/>
            <w:r w:rsidRPr="00F322D0">
              <w:rPr>
                <w:rFonts w:ascii="Times New Roman" w:hAnsi="Times New Roman"/>
              </w:rPr>
              <w:t xml:space="preserve">d. </w:t>
            </w:r>
            <w:r w:rsidR="0020574E" w:rsidRPr="00F322D0">
              <w:rPr>
                <w:rFonts w:ascii="Times New Roman" w:hAnsi="Times New Roman"/>
              </w:rPr>
              <w:t xml:space="preserve">By payer and line of business, provide a comprehensive list of ACO quality measures that will, or are proposed to, affect payment or be monitored, according to the terms of the agreement with the payer. In addition, please include a copy of each contract’s language. </w:t>
            </w:r>
          </w:p>
        </w:tc>
      </w:tr>
      <w:tr w:rsidR="0020574E" w:rsidRPr="00F322D0" w14:paraId="098288F2" w14:textId="77777777" w:rsidTr="00F322D0">
        <w:tc>
          <w:tcPr>
            <w:tcW w:w="1304" w:type="dxa"/>
            <w:shd w:val="clear" w:color="auto" w:fill="auto"/>
          </w:tcPr>
          <w:p w14:paraId="1173E16F" w14:textId="77777777" w:rsidR="0020574E" w:rsidRPr="00F322D0" w:rsidRDefault="0020574E" w:rsidP="006511C8">
            <w:pPr>
              <w:rPr>
                <w:rFonts w:ascii="Times New Roman" w:hAnsi="Times New Roman"/>
              </w:rPr>
            </w:pPr>
            <w:r w:rsidRPr="00F322D0">
              <w:rPr>
                <w:rFonts w:ascii="Times New Roman" w:hAnsi="Times New Roman"/>
              </w:rPr>
              <w:t>Commercial</w:t>
            </w:r>
          </w:p>
        </w:tc>
        <w:tc>
          <w:tcPr>
            <w:tcW w:w="8063" w:type="dxa"/>
            <w:shd w:val="clear" w:color="auto" w:fill="auto"/>
          </w:tcPr>
          <w:p w14:paraId="259C09A9" w14:textId="77777777" w:rsidR="0020574E" w:rsidRPr="00F322D0" w:rsidRDefault="0020574E" w:rsidP="006511C8">
            <w:pPr>
              <w:rPr>
                <w:rFonts w:ascii="Times New Roman" w:hAnsi="Times New Roman"/>
              </w:rPr>
            </w:pPr>
          </w:p>
          <w:p w14:paraId="6E2B63EB" w14:textId="77777777" w:rsidR="0020574E" w:rsidRPr="00F322D0" w:rsidRDefault="0020574E" w:rsidP="006511C8">
            <w:pPr>
              <w:rPr>
                <w:rFonts w:ascii="Times New Roman" w:hAnsi="Times New Roman"/>
              </w:rPr>
            </w:pPr>
          </w:p>
          <w:p w14:paraId="11A5322C" w14:textId="77777777" w:rsidR="0020574E" w:rsidRPr="00F322D0" w:rsidRDefault="0020574E" w:rsidP="006511C8">
            <w:pPr>
              <w:rPr>
                <w:rFonts w:ascii="Times New Roman" w:hAnsi="Times New Roman"/>
              </w:rPr>
            </w:pPr>
          </w:p>
        </w:tc>
      </w:tr>
      <w:tr w:rsidR="0020574E" w:rsidRPr="00F322D0" w14:paraId="3BBBB8D0" w14:textId="77777777" w:rsidTr="00F322D0">
        <w:tc>
          <w:tcPr>
            <w:tcW w:w="1304" w:type="dxa"/>
            <w:shd w:val="clear" w:color="auto" w:fill="auto"/>
          </w:tcPr>
          <w:p w14:paraId="6FCC5FE9" w14:textId="77777777" w:rsidR="0020574E" w:rsidRPr="00F322D0" w:rsidRDefault="0020574E" w:rsidP="006511C8">
            <w:pPr>
              <w:rPr>
                <w:rFonts w:ascii="Times New Roman" w:hAnsi="Times New Roman"/>
              </w:rPr>
            </w:pPr>
            <w:r w:rsidRPr="00F322D0">
              <w:rPr>
                <w:rFonts w:ascii="Times New Roman" w:hAnsi="Times New Roman"/>
              </w:rPr>
              <w:t>Commercial Self-funded</w:t>
            </w:r>
          </w:p>
        </w:tc>
        <w:tc>
          <w:tcPr>
            <w:tcW w:w="8063" w:type="dxa"/>
            <w:shd w:val="clear" w:color="auto" w:fill="auto"/>
          </w:tcPr>
          <w:p w14:paraId="0E887019" w14:textId="77777777" w:rsidR="0020574E" w:rsidRPr="00F322D0" w:rsidRDefault="0020574E" w:rsidP="006511C8">
            <w:pPr>
              <w:rPr>
                <w:rFonts w:ascii="Times New Roman" w:hAnsi="Times New Roman"/>
              </w:rPr>
            </w:pPr>
          </w:p>
          <w:p w14:paraId="23412BB3" w14:textId="77777777" w:rsidR="0020574E" w:rsidRPr="00F322D0" w:rsidRDefault="0020574E" w:rsidP="006511C8">
            <w:pPr>
              <w:rPr>
                <w:rFonts w:ascii="Times New Roman" w:hAnsi="Times New Roman"/>
              </w:rPr>
            </w:pPr>
          </w:p>
          <w:p w14:paraId="163649D9" w14:textId="77777777" w:rsidR="0020574E" w:rsidRPr="00F322D0" w:rsidRDefault="0020574E" w:rsidP="006511C8">
            <w:pPr>
              <w:rPr>
                <w:rFonts w:ascii="Times New Roman" w:hAnsi="Times New Roman"/>
              </w:rPr>
            </w:pPr>
          </w:p>
        </w:tc>
      </w:tr>
      <w:tr w:rsidR="0020574E" w:rsidRPr="00F322D0" w14:paraId="4BEA8CC1" w14:textId="77777777" w:rsidTr="00F322D0">
        <w:tc>
          <w:tcPr>
            <w:tcW w:w="1304" w:type="dxa"/>
            <w:shd w:val="clear" w:color="auto" w:fill="auto"/>
          </w:tcPr>
          <w:p w14:paraId="2BADD922" w14:textId="77777777" w:rsidR="0020574E" w:rsidRPr="00F322D0" w:rsidRDefault="0020574E" w:rsidP="006511C8">
            <w:pPr>
              <w:rPr>
                <w:rFonts w:ascii="Times New Roman" w:hAnsi="Times New Roman"/>
              </w:rPr>
            </w:pPr>
            <w:r w:rsidRPr="00F322D0">
              <w:rPr>
                <w:rFonts w:ascii="Times New Roman" w:hAnsi="Times New Roman"/>
              </w:rPr>
              <w:t>Medicaid</w:t>
            </w:r>
          </w:p>
        </w:tc>
        <w:tc>
          <w:tcPr>
            <w:tcW w:w="8063" w:type="dxa"/>
            <w:shd w:val="clear" w:color="auto" w:fill="auto"/>
          </w:tcPr>
          <w:p w14:paraId="476FB176" w14:textId="77777777" w:rsidR="0020574E" w:rsidRPr="00F322D0" w:rsidRDefault="0020574E" w:rsidP="006511C8">
            <w:pPr>
              <w:rPr>
                <w:rFonts w:ascii="Times New Roman" w:hAnsi="Times New Roman"/>
              </w:rPr>
            </w:pPr>
          </w:p>
          <w:p w14:paraId="22F7D9FB" w14:textId="77777777" w:rsidR="0020574E" w:rsidRPr="00F322D0" w:rsidRDefault="0020574E" w:rsidP="006511C8">
            <w:pPr>
              <w:rPr>
                <w:rFonts w:ascii="Times New Roman" w:hAnsi="Times New Roman"/>
              </w:rPr>
            </w:pPr>
          </w:p>
          <w:p w14:paraId="19722B0F" w14:textId="77777777" w:rsidR="0020574E" w:rsidRPr="00F322D0" w:rsidRDefault="0020574E" w:rsidP="006511C8">
            <w:pPr>
              <w:rPr>
                <w:rFonts w:ascii="Times New Roman" w:hAnsi="Times New Roman"/>
              </w:rPr>
            </w:pPr>
          </w:p>
        </w:tc>
      </w:tr>
      <w:tr w:rsidR="0020574E" w:rsidRPr="00F322D0" w14:paraId="435CF80A" w14:textId="77777777" w:rsidTr="00F322D0">
        <w:tc>
          <w:tcPr>
            <w:tcW w:w="1304" w:type="dxa"/>
            <w:shd w:val="clear" w:color="auto" w:fill="auto"/>
          </w:tcPr>
          <w:p w14:paraId="0026ABB2" w14:textId="77777777" w:rsidR="0020574E" w:rsidRPr="00F322D0" w:rsidRDefault="0020574E" w:rsidP="006511C8">
            <w:pPr>
              <w:rPr>
                <w:rFonts w:ascii="Times New Roman" w:hAnsi="Times New Roman"/>
              </w:rPr>
            </w:pPr>
            <w:r w:rsidRPr="00F322D0">
              <w:rPr>
                <w:rFonts w:ascii="Times New Roman" w:hAnsi="Times New Roman"/>
              </w:rPr>
              <w:t>Medicare</w:t>
            </w:r>
          </w:p>
        </w:tc>
        <w:tc>
          <w:tcPr>
            <w:tcW w:w="8063" w:type="dxa"/>
            <w:shd w:val="clear" w:color="auto" w:fill="auto"/>
          </w:tcPr>
          <w:p w14:paraId="66958E80" w14:textId="77777777" w:rsidR="0020574E" w:rsidRPr="00F322D0" w:rsidRDefault="0020574E" w:rsidP="006511C8">
            <w:pPr>
              <w:rPr>
                <w:rFonts w:ascii="Times New Roman" w:hAnsi="Times New Roman"/>
              </w:rPr>
            </w:pPr>
          </w:p>
          <w:p w14:paraId="12889F3E" w14:textId="77777777" w:rsidR="0020574E" w:rsidRPr="00F322D0" w:rsidRDefault="0020574E" w:rsidP="006511C8">
            <w:pPr>
              <w:rPr>
                <w:rFonts w:ascii="Times New Roman" w:hAnsi="Times New Roman"/>
              </w:rPr>
            </w:pPr>
          </w:p>
          <w:p w14:paraId="1E51CE1D" w14:textId="77777777" w:rsidR="0020574E" w:rsidRPr="00F322D0" w:rsidRDefault="0020574E" w:rsidP="006511C8">
            <w:pPr>
              <w:rPr>
                <w:rFonts w:ascii="Times New Roman" w:hAnsi="Times New Roman"/>
              </w:rPr>
            </w:pPr>
          </w:p>
        </w:tc>
      </w:tr>
      <w:bookmarkEnd w:id="8"/>
    </w:tbl>
    <w:p w14:paraId="5EF6AF27" w14:textId="77777777" w:rsidR="0020574E" w:rsidRPr="00A65CCB" w:rsidRDefault="0020574E" w:rsidP="00A65CCB">
      <w:pPr>
        <w:pStyle w:val="ListParagraph"/>
        <w:spacing w:afterLines="200" w:after="480"/>
        <w:rPr>
          <w:rFonts w:ascii="Times New Roman" w:hAnsi="Times New Roman" w:cs="Times New Roman"/>
          <w:sz w:val="24"/>
          <w:szCs w:val="24"/>
        </w:rPr>
      </w:pPr>
    </w:p>
    <w:p w14:paraId="2FF600C4" w14:textId="7649E4D2" w:rsidR="00E92682" w:rsidRPr="00244659" w:rsidRDefault="00AF16B9" w:rsidP="00E50140">
      <w:pPr>
        <w:pStyle w:val="Heading2"/>
      </w:pPr>
      <w:r>
        <w:t>Section</w:t>
      </w:r>
      <w:r w:rsidRPr="00244659">
        <w:t xml:space="preserve"> </w:t>
      </w:r>
      <w:r w:rsidR="00E92682" w:rsidRPr="00244659">
        <w:t xml:space="preserve">4: ACO </w:t>
      </w:r>
      <w:r w:rsidR="00635667" w:rsidRPr="00244659">
        <w:t>BUDGET AND FINANCIAL PLAN</w:t>
      </w:r>
    </w:p>
    <w:p w14:paraId="0B88232B" w14:textId="77777777" w:rsidR="00660D61" w:rsidRDefault="00E92682"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Submit most recent audited financial statements.</w:t>
      </w:r>
    </w:p>
    <w:p w14:paraId="00B9D26F" w14:textId="77777777" w:rsidR="00660D61" w:rsidRDefault="00660D61" w:rsidP="00C534F2">
      <w:pPr>
        <w:pStyle w:val="ListParagraph"/>
        <w:spacing w:afterLines="200" w:after="480"/>
        <w:rPr>
          <w:rFonts w:ascii="Times New Roman" w:hAnsi="Times New Roman"/>
          <w:sz w:val="24"/>
          <w:szCs w:val="24"/>
        </w:rPr>
      </w:pPr>
    </w:p>
    <w:p w14:paraId="73CAAD6F" w14:textId="77777777" w:rsidR="00660D61" w:rsidRDefault="00951D0A"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 xml:space="preserve">Complete </w:t>
      </w:r>
      <w:r w:rsidR="001A10A5" w:rsidRPr="00660D61">
        <w:rPr>
          <w:rFonts w:ascii="Times New Roman" w:hAnsi="Times New Roman"/>
          <w:sz w:val="24"/>
          <w:szCs w:val="24"/>
        </w:rPr>
        <w:t xml:space="preserve">the </w:t>
      </w:r>
      <w:r w:rsidRPr="00660D61">
        <w:rPr>
          <w:rFonts w:ascii="Times New Roman" w:hAnsi="Times New Roman"/>
          <w:sz w:val="24"/>
          <w:szCs w:val="24"/>
        </w:rPr>
        <w:t>GMCB financial statement templates</w:t>
      </w:r>
      <w:r w:rsidR="009D2458" w:rsidRPr="00660D61">
        <w:rPr>
          <w:rFonts w:ascii="Times New Roman" w:hAnsi="Times New Roman"/>
          <w:sz w:val="24"/>
          <w:szCs w:val="24"/>
        </w:rPr>
        <w:t xml:space="preserve"> (</w:t>
      </w:r>
      <w:r w:rsidR="008F3CB1" w:rsidRPr="00FE0BC4">
        <w:rPr>
          <w:rFonts w:ascii="Times New Roman" w:hAnsi="Times New Roman"/>
          <w:b/>
          <w:sz w:val="24"/>
          <w:szCs w:val="24"/>
        </w:rPr>
        <w:t>Appendi</w:t>
      </w:r>
      <w:r w:rsidR="00FE0BC4" w:rsidRPr="00FE0BC4">
        <w:rPr>
          <w:rFonts w:ascii="Times New Roman" w:hAnsi="Times New Roman"/>
          <w:b/>
          <w:sz w:val="24"/>
          <w:szCs w:val="24"/>
        </w:rPr>
        <w:t>ces</w:t>
      </w:r>
      <w:r w:rsidR="008F3CB1" w:rsidRPr="00FE0BC4">
        <w:rPr>
          <w:rFonts w:ascii="Times New Roman" w:hAnsi="Times New Roman"/>
          <w:b/>
          <w:sz w:val="24"/>
          <w:szCs w:val="24"/>
        </w:rPr>
        <w:t xml:space="preserve"> </w:t>
      </w:r>
      <w:r w:rsidR="00FE0BC4" w:rsidRPr="00FE0BC4">
        <w:rPr>
          <w:rFonts w:ascii="Times New Roman" w:hAnsi="Times New Roman"/>
          <w:b/>
          <w:sz w:val="24"/>
          <w:szCs w:val="24"/>
        </w:rPr>
        <w:t>4</w:t>
      </w:r>
      <w:r w:rsidR="008F3CB1" w:rsidRPr="00FE0BC4">
        <w:rPr>
          <w:rFonts w:ascii="Times New Roman" w:hAnsi="Times New Roman"/>
          <w:b/>
          <w:sz w:val="24"/>
          <w:szCs w:val="24"/>
        </w:rPr>
        <w:t>.1-</w:t>
      </w:r>
      <w:r w:rsidR="00FE0BC4" w:rsidRPr="00FE0BC4">
        <w:rPr>
          <w:rFonts w:ascii="Times New Roman" w:hAnsi="Times New Roman"/>
          <w:b/>
          <w:sz w:val="24"/>
          <w:szCs w:val="24"/>
        </w:rPr>
        <w:t>4</w:t>
      </w:r>
      <w:r w:rsidR="008F3CB1" w:rsidRPr="00FE0BC4">
        <w:rPr>
          <w:rFonts w:ascii="Times New Roman" w:hAnsi="Times New Roman"/>
          <w:b/>
          <w:sz w:val="24"/>
          <w:szCs w:val="24"/>
        </w:rPr>
        <w:t>.3</w:t>
      </w:r>
      <w:r w:rsidR="009D2458" w:rsidRPr="00660D61">
        <w:rPr>
          <w:rFonts w:ascii="Times New Roman" w:hAnsi="Times New Roman"/>
          <w:sz w:val="24"/>
          <w:szCs w:val="24"/>
        </w:rPr>
        <w:t>)</w:t>
      </w:r>
      <w:r w:rsidRPr="00660D61">
        <w:rPr>
          <w:rFonts w:ascii="Times New Roman" w:hAnsi="Times New Roman"/>
          <w:sz w:val="24"/>
          <w:szCs w:val="24"/>
        </w:rPr>
        <w:t>.</w:t>
      </w:r>
    </w:p>
    <w:p w14:paraId="416C759C" w14:textId="77777777" w:rsidR="00660D61" w:rsidRPr="00660D61" w:rsidRDefault="00660D61" w:rsidP="00C534F2">
      <w:pPr>
        <w:pStyle w:val="ListParagraph"/>
        <w:spacing w:afterLines="200" w:after="480"/>
        <w:rPr>
          <w:rFonts w:ascii="Times New Roman" w:hAnsi="Times New Roman"/>
          <w:sz w:val="24"/>
          <w:szCs w:val="24"/>
        </w:rPr>
      </w:pPr>
    </w:p>
    <w:p w14:paraId="7B765E33" w14:textId="270A8EE3" w:rsidR="00660D61" w:rsidRDefault="00130933" w:rsidP="004804B3">
      <w:pPr>
        <w:pStyle w:val="ListParagraph"/>
        <w:numPr>
          <w:ilvl w:val="0"/>
          <w:numId w:val="9"/>
        </w:numPr>
        <w:spacing w:afterLines="200" w:after="480"/>
        <w:rPr>
          <w:rFonts w:ascii="Times New Roman" w:hAnsi="Times New Roman"/>
          <w:sz w:val="24"/>
          <w:szCs w:val="24"/>
        </w:rPr>
      </w:pPr>
      <w:r>
        <w:rPr>
          <w:rFonts w:ascii="Times New Roman" w:hAnsi="Times New Roman"/>
          <w:sz w:val="24"/>
          <w:szCs w:val="24"/>
        </w:rPr>
        <w:t>Provide</w:t>
      </w:r>
      <w:r w:rsidR="00E92682" w:rsidRPr="00660D61">
        <w:rPr>
          <w:rFonts w:ascii="Times New Roman" w:hAnsi="Times New Roman"/>
          <w:sz w:val="24"/>
          <w:szCs w:val="24"/>
        </w:rPr>
        <w:t xml:space="preserve">, as an attachment, a completed </w:t>
      </w:r>
      <w:r w:rsidR="008F3CB1" w:rsidRPr="00FE0BC4">
        <w:rPr>
          <w:rFonts w:ascii="Times New Roman" w:hAnsi="Times New Roman"/>
          <w:b/>
          <w:sz w:val="24"/>
          <w:szCs w:val="24"/>
        </w:rPr>
        <w:t xml:space="preserve">Appendix </w:t>
      </w:r>
      <w:r w:rsidR="00FE0BC4" w:rsidRPr="00FE0BC4">
        <w:rPr>
          <w:rFonts w:ascii="Times New Roman" w:hAnsi="Times New Roman"/>
          <w:b/>
          <w:sz w:val="24"/>
          <w:szCs w:val="24"/>
        </w:rPr>
        <w:t>4</w:t>
      </w:r>
      <w:r w:rsidR="008F3CB1" w:rsidRPr="00FE0BC4">
        <w:rPr>
          <w:rFonts w:ascii="Times New Roman" w:hAnsi="Times New Roman"/>
          <w:b/>
          <w:sz w:val="24"/>
          <w:szCs w:val="24"/>
        </w:rPr>
        <w:t>.4-</w:t>
      </w:r>
      <w:r w:rsidR="00FE0BC4" w:rsidRPr="00FE0BC4">
        <w:rPr>
          <w:rFonts w:ascii="Times New Roman" w:hAnsi="Times New Roman"/>
          <w:b/>
          <w:sz w:val="24"/>
          <w:szCs w:val="24"/>
        </w:rPr>
        <w:t>4</w:t>
      </w:r>
      <w:r w:rsidR="008F3CB1" w:rsidRPr="00FE0BC4">
        <w:rPr>
          <w:rFonts w:ascii="Times New Roman" w:hAnsi="Times New Roman"/>
          <w:b/>
          <w:sz w:val="24"/>
          <w:szCs w:val="24"/>
        </w:rPr>
        <w:t>.7</w:t>
      </w:r>
      <w:r w:rsidR="00E92682" w:rsidRPr="00660D61">
        <w:rPr>
          <w:rFonts w:ascii="Times New Roman" w:hAnsi="Times New Roman"/>
          <w:sz w:val="24"/>
          <w:szCs w:val="24"/>
        </w:rPr>
        <w:t>.</w:t>
      </w:r>
      <w:r w:rsidR="00FE0BC4">
        <w:rPr>
          <w:rFonts w:ascii="Times New Roman" w:hAnsi="Times New Roman"/>
          <w:sz w:val="24"/>
          <w:szCs w:val="24"/>
        </w:rPr>
        <w:t xml:space="preserve"> </w:t>
      </w:r>
      <w:r w:rsidR="00E92682" w:rsidRPr="00660D61">
        <w:rPr>
          <w:rFonts w:ascii="Times New Roman" w:hAnsi="Times New Roman"/>
          <w:sz w:val="24"/>
          <w:szCs w:val="24"/>
        </w:rPr>
        <w:t>Th</w:t>
      </w:r>
      <w:r w:rsidR="00EF211B" w:rsidRPr="00660D61">
        <w:rPr>
          <w:rFonts w:ascii="Times New Roman" w:hAnsi="Times New Roman"/>
          <w:sz w:val="24"/>
          <w:szCs w:val="24"/>
        </w:rPr>
        <w:t>e Appendix requests</w:t>
      </w:r>
      <w:r w:rsidR="00FE0BC4">
        <w:rPr>
          <w:rFonts w:ascii="Times New Roman" w:hAnsi="Times New Roman"/>
          <w:sz w:val="24"/>
          <w:szCs w:val="24"/>
        </w:rPr>
        <w:t xml:space="preserve"> </w:t>
      </w:r>
      <w:r w:rsidR="00E92682" w:rsidRPr="00660D61">
        <w:rPr>
          <w:rFonts w:ascii="Times New Roman" w:hAnsi="Times New Roman"/>
          <w:sz w:val="24"/>
          <w:szCs w:val="24"/>
        </w:rPr>
        <w:t>the ACO, by payer and line of business, to provide information on projected revenues and expenses to flow through the ACO financial statements (including payer revenues, participating provider dues, and grant funding), medical costs and administrative costs (including contracted services, community investments and contribution to reserves), in total dollars and per member per month (PMPM) dollars when applicable.</w:t>
      </w:r>
      <w:r w:rsidR="00AE10D2" w:rsidRPr="00660D61">
        <w:rPr>
          <w:rFonts w:ascii="Bookman Old Style" w:hAnsi="Bookman Old Style" w:cs="Arial"/>
        </w:rPr>
        <w:t xml:space="preserve"> </w:t>
      </w:r>
      <w:r w:rsidR="00AE10D2" w:rsidRPr="00660D61">
        <w:rPr>
          <w:rFonts w:ascii="Times New Roman" w:hAnsi="Times New Roman"/>
          <w:sz w:val="24"/>
          <w:szCs w:val="24"/>
        </w:rPr>
        <w:t>The GMCB may request additional information or copies of grants or agreements as part of the review.</w:t>
      </w:r>
    </w:p>
    <w:p w14:paraId="6A5634C3" w14:textId="77777777" w:rsidR="004E7C81" w:rsidRDefault="004E7C81" w:rsidP="004E7C81">
      <w:pPr>
        <w:pStyle w:val="ListParagraph"/>
        <w:spacing w:afterLines="200" w:after="480"/>
        <w:rPr>
          <w:rFonts w:ascii="Times New Roman" w:hAnsi="Times New Roman"/>
          <w:sz w:val="24"/>
          <w:szCs w:val="24"/>
        </w:rPr>
      </w:pPr>
    </w:p>
    <w:p w14:paraId="3441B8C0" w14:textId="13A63544" w:rsidR="004E7C81" w:rsidRPr="004E7C81" w:rsidRDefault="004E7C81"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 xml:space="preserve">Complete all tabs of </w:t>
      </w:r>
      <w:r w:rsidRPr="00FE0BC4">
        <w:rPr>
          <w:rFonts w:ascii="Times New Roman" w:hAnsi="Times New Roman"/>
          <w:b/>
          <w:sz w:val="24"/>
          <w:szCs w:val="24"/>
        </w:rPr>
        <w:t>Part 4.8 Appendix</w:t>
      </w:r>
      <w:r>
        <w:rPr>
          <w:rFonts w:ascii="Times New Roman" w:hAnsi="Times New Roman"/>
          <w:b/>
          <w:sz w:val="24"/>
          <w:szCs w:val="24"/>
        </w:rPr>
        <w:t xml:space="preserve"> – ACO </w:t>
      </w:r>
      <w:r w:rsidRPr="00FE0BC4">
        <w:rPr>
          <w:rFonts w:ascii="Times New Roman" w:hAnsi="Times New Roman"/>
          <w:b/>
          <w:sz w:val="24"/>
          <w:szCs w:val="24"/>
        </w:rPr>
        <w:t>2019 Budget Submission Reporting APM for Participating Hospitals</w:t>
      </w:r>
      <w:r w:rsidRPr="00660D61">
        <w:rPr>
          <w:rFonts w:ascii="Times New Roman" w:hAnsi="Times New Roman"/>
          <w:sz w:val="24"/>
          <w:szCs w:val="24"/>
        </w:rPr>
        <w:t xml:space="preserve"> for the 2019 budget year.</w:t>
      </w:r>
    </w:p>
    <w:p w14:paraId="0708BBE6" w14:textId="77777777" w:rsidR="00660D61" w:rsidRPr="00660D61" w:rsidRDefault="00660D61" w:rsidP="00C534F2">
      <w:pPr>
        <w:pStyle w:val="ListParagraph"/>
        <w:spacing w:afterLines="200" w:after="480"/>
        <w:rPr>
          <w:rFonts w:ascii="Times New Roman" w:hAnsi="Times New Roman"/>
          <w:sz w:val="24"/>
          <w:szCs w:val="24"/>
        </w:rPr>
      </w:pPr>
    </w:p>
    <w:p w14:paraId="751D1349" w14:textId="77777777" w:rsidR="00660D61" w:rsidRDefault="00E92682"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Provide a narrative description of the following elements of the ACO’s spending plan:</w:t>
      </w:r>
    </w:p>
    <w:p w14:paraId="7779C237" w14:textId="77777777" w:rsidR="00660D61" w:rsidRPr="00660D61" w:rsidRDefault="00660D61" w:rsidP="00C534F2">
      <w:pPr>
        <w:pStyle w:val="ListParagraph"/>
        <w:spacing w:afterLines="200" w:after="480"/>
        <w:rPr>
          <w:rFonts w:ascii="Times New Roman" w:eastAsia="Times New Roman" w:hAnsi="Times New Roman"/>
          <w:sz w:val="24"/>
          <w:szCs w:val="24"/>
        </w:rPr>
      </w:pPr>
    </w:p>
    <w:p w14:paraId="151CAB00" w14:textId="77777777" w:rsidR="00660D61" w:rsidRPr="00660D61" w:rsidRDefault="000F135A" w:rsidP="004804B3">
      <w:pPr>
        <w:pStyle w:val="ListParagraph"/>
        <w:numPr>
          <w:ilvl w:val="1"/>
          <w:numId w:val="9"/>
        </w:numPr>
        <w:spacing w:afterLines="200" w:after="480"/>
        <w:rPr>
          <w:rFonts w:ascii="Times New Roman" w:hAnsi="Times New Roman"/>
          <w:sz w:val="24"/>
          <w:szCs w:val="24"/>
        </w:rPr>
      </w:pPr>
      <w:r>
        <w:rPr>
          <w:rFonts w:ascii="Times New Roman" w:eastAsia="Times New Roman" w:hAnsi="Times New Roman"/>
          <w:sz w:val="24"/>
          <w:szCs w:val="24"/>
        </w:rPr>
        <w:t xml:space="preserve">Relevant </w:t>
      </w:r>
      <w:r w:rsidR="00E92682" w:rsidRPr="00660D61">
        <w:rPr>
          <w:rFonts w:ascii="Times New Roman" w:eastAsia="Times New Roman" w:hAnsi="Times New Roman"/>
          <w:sz w:val="24"/>
          <w:szCs w:val="24"/>
        </w:rPr>
        <w:t>industry benchmarks used in developing the administrative budget;</w:t>
      </w:r>
    </w:p>
    <w:p w14:paraId="2A874390" w14:textId="74E3B7E1" w:rsidR="00F322D0" w:rsidRDefault="00E92682" w:rsidP="004804B3">
      <w:pPr>
        <w:pStyle w:val="ListParagraph"/>
        <w:numPr>
          <w:ilvl w:val="1"/>
          <w:numId w:val="9"/>
        </w:numPr>
        <w:spacing w:afterLines="200" w:after="480"/>
        <w:rPr>
          <w:rFonts w:ascii="Times New Roman" w:hAnsi="Times New Roman"/>
          <w:sz w:val="24"/>
          <w:szCs w:val="24"/>
        </w:rPr>
      </w:pPr>
      <w:r w:rsidRPr="00F322D0">
        <w:rPr>
          <w:rFonts w:ascii="Times New Roman" w:hAnsi="Times New Roman"/>
          <w:sz w:val="24"/>
          <w:szCs w:val="24"/>
        </w:rPr>
        <w:t xml:space="preserve">The methodology </w:t>
      </w:r>
      <w:r w:rsidR="000F135A" w:rsidRPr="00F322D0">
        <w:rPr>
          <w:rFonts w:ascii="Times New Roman" w:hAnsi="Times New Roman"/>
          <w:sz w:val="24"/>
          <w:szCs w:val="24"/>
        </w:rPr>
        <w:t xml:space="preserve">for </w:t>
      </w:r>
      <w:r w:rsidRPr="00F322D0">
        <w:rPr>
          <w:rFonts w:ascii="Times New Roman" w:hAnsi="Times New Roman"/>
          <w:sz w:val="24"/>
          <w:szCs w:val="24"/>
        </w:rPr>
        <w:t>determining the qualification</w:t>
      </w:r>
      <w:r w:rsidR="000F135A" w:rsidRPr="00F322D0">
        <w:rPr>
          <w:rFonts w:ascii="Times New Roman" w:hAnsi="Times New Roman"/>
          <w:sz w:val="24"/>
          <w:szCs w:val="24"/>
        </w:rPr>
        <w:t xml:space="preserve"> for</w:t>
      </w:r>
      <w:r w:rsidRPr="00F322D0">
        <w:rPr>
          <w:rFonts w:ascii="Times New Roman" w:hAnsi="Times New Roman"/>
          <w:sz w:val="24"/>
          <w:szCs w:val="24"/>
        </w:rPr>
        <w:t xml:space="preserve"> and amount of </w:t>
      </w:r>
      <w:r w:rsidR="003C2F7A" w:rsidRPr="00F322D0">
        <w:rPr>
          <w:rFonts w:ascii="Times New Roman" w:hAnsi="Times New Roman"/>
          <w:sz w:val="24"/>
          <w:szCs w:val="24"/>
        </w:rPr>
        <w:t xml:space="preserve">any </w:t>
      </w:r>
      <w:r w:rsidRPr="00F322D0">
        <w:rPr>
          <w:rFonts w:ascii="Times New Roman" w:hAnsi="Times New Roman"/>
          <w:sz w:val="24"/>
          <w:szCs w:val="24"/>
        </w:rPr>
        <w:t>provider incentive payments</w:t>
      </w:r>
      <w:r w:rsidR="00666BEE" w:rsidRPr="00F322D0">
        <w:rPr>
          <w:rFonts w:ascii="Times New Roman" w:hAnsi="Times New Roman"/>
          <w:sz w:val="24"/>
          <w:szCs w:val="24"/>
        </w:rPr>
        <w:t xml:space="preserve"> and</w:t>
      </w:r>
      <w:r w:rsidR="000F135A" w:rsidRPr="00F322D0">
        <w:rPr>
          <w:rFonts w:ascii="Times New Roman" w:hAnsi="Times New Roman"/>
          <w:sz w:val="24"/>
          <w:szCs w:val="24"/>
        </w:rPr>
        <w:t xml:space="preserve"> how those payments</w:t>
      </w:r>
      <w:r w:rsidR="00666BEE" w:rsidRPr="00F322D0">
        <w:rPr>
          <w:rFonts w:ascii="Times New Roman" w:hAnsi="Times New Roman"/>
          <w:sz w:val="24"/>
          <w:szCs w:val="24"/>
        </w:rPr>
        <w:t xml:space="preserve"> align with ACO performance incentives</w:t>
      </w:r>
      <w:r w:rsidR="00F322D0">
        <w:rPr>
          <w:rFonts w:ascii="Times New Roman" w:hAnsi="Times New Roman"/>
          <w:sz w:val="24"/>
          <w:szCs w:val="24"/>
        </w:rPr>
        <w:t xml:space="preserve">, which may include </w:t>
      </w:r>
      <w:r w:rsidR="00F322D0" w:rsidRPr="00F322D0">
        <w:rPr>
          <w:rFonts w:ascii="Times New Roman" w:hAnsi="Times New Roman"/>
          <w:sz w:val="24"/>
          <w:szCs w:val="24"/>
        </w:rPr>
        <w:t xml:space="preserve">contractual agreements </w:t>
      </w:r>
      <w:r w:rsidR="00F322D0">
        <w:rPr>
          <w:rFonts w:ascii="Times New Roman" w:hAnsi="Times New Roman"/>
          <w:sz w:val="24"/>
          <w:szCs w:val="24"/>
        </w:rPr>
        <w:t>measures and outcomes.</w:t>
      </w:r>
    </w:p>
    <w:p w14:paraId="64F9D554" w14:textId="77777777" w:rsidR="00660D61" w:rsidRPr="00660D61" w:rsidRDefault="00DD2B94" w:rsidP="004804B3">
      <w:pPr>
        <w:pStyle w:val="ListParagraph"/>
        <w:numPr>
          <w:ilvl w:val="1"/>
          <w:numId w:val="9"/>
        </w:numPr>
        <w:spacing w:afterLines="200" w:after="480"/>
        <w:rPr>
          <w:rFonts w:ascii="Times New Roman" w:hAnsi="Times New Roman"/>
          <w:sz w:val="24"/>
          <w:szCs w:val="24"/>
        </w:rPr>
      </w:pPr>
      <w:r w:rsidRPr="00660D61">
        <w:rPr>
          <w:rFonts w:ascii="Times New Roman" w:eastAsia="Times New Roman" w:hAnsi="Times New Roman"/>
          <w:sz w:val="24"/>
          <w:szCs w:val="24"/>
        </w:rPr>
        <w:t>Q</w:t>
      </w:r>
      <w:r w:rsidR="001C72B3" w:rsidRPr="00660D61">
        <w:rPr>
          <w:rFonts w:ascii="Times New Roman" w:eastAsia="Times New Roman" w:hAnsi="Times New Roman"/>
          <w:sz w:val="24"/>
          <w:szCs w:val="24"/>
        </w:rPr>
        <w:t xml:space="preserve">uantity of </w:t>
      </w:r>
      <w:r w:rsidR="00B27471" w:rsidRPr="00660D61">
        <w:rPr>
          <w:rFonts w:ascii="Times New Roman" w:eastAsia="Times New Roman" w:hAnsi="Times New Roman"/>
          <w:sz w:val="24"/>
          <w:szCs w:val="24"/>
        </w:rPr>
        <w:t xml:space="preserve">Delivery System Reform </w:t>
      </w:r>
      <w:r w:rsidR="001C72B3" w:rsidRPr="00660D61">
        <w:rPr>
          <w:rFonts w:ascii="Times New Roman" w:eastAsia="Times New Roman" w:hAnsi="Times New Roman"/>
          <w:sz w:val="24"/>
          <w:szCs w:val="24"/>
        </w:rPr>
        <w:t xml:space="preserve">dollars and </w:t>
      </w:r>
      <w:r w:rsidR="00090AE4" w:rsidRPr="00660D61">
        <w:rPr>
          <w:rFonts w:ascii="Times New Roman" w:eastAsia="Times New Roman" w:hAnsi="Times New Roman"/>
          <w:sz w:val="24"/>
          <w:szCs w:val="24"/>
        </w:rPr>
        <w:t xml:space="preserve">associated </w:t>
      </w:r>
      <w:r w:rsidR="001C72B3" w:rsidRPr="00660D61">
        <w:rPr>
          <w:rFonts w:ascii="Times New Roman" w:eastAsia="Times New Roman" w:hAnsi="Times New Roman"/>
          <w:sz w:val="24"/>
          <w:szCs w:val="24"/>
        </w:rPr>
        <w:t xml:space="preserve">goals for </w:t>
      </w:r>
      <w:r w:rsidR="00090AE4" w:rsidRPr="00660D61">
        <w:rPr>
          <w:rFonts w:ascii="Times New Roman" w:eastAsia="Times New Roman" w:hAnsi="Times New Roman"/>
          <w:sz w:val="24"/>
          <w:szCs w:val="24"/>
        </w:rPr>
        <w:t xml:space="preserve">stated </w:t>
      </w:r>
      <w:r w:rsidR="001C72B3" w:rsidRPr="00660D61">
        <w:rPr>
          <w:rFonts w:ascii="Times New Roman" w:eastAsia="Times New Roman" w:hAnsi="Times New Roman"/>
          <w:sz w:val="24"/>
          <w:szCs w:val="24"/>
        </w:rPr>
        <w:t>investments</w:t>
      </w:r>
      <w:r w:rsidR="00A46A2D" w:rsidRPr="00660D61">
        <w:rPr>
          <w:rFonts w:ascii="Times New Roman" w:eastAsia="Times New Roman" w:hAnsi="Times New Roman"/>
          <w:sz w:val="24"/>
          <w:szCs w:val="24"/>
        </w:rPr>
        <w:t>;</w:t>
      </w:r>
    </w:p>
    <w:p w14:paraId="5F79D45A" w14:textId="77777777" w:rsidR="00660D61" w:rsidRDefault="00E92682"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Strategy for planned spending on health information technology, at the ACO level and to support individual providers;</w:t>
      </w:r>
    </w:p>
    <w:p w14:paraId="5FD45C8E" w14:textId="77777777" w:rsidR="00660D61" w:rsidRDefault="00E92682"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 xml:space="preserve">Budget assumptions related to service utilization, including anticipated changes from prior years’ utilization, including </w:t>
      </w:r>
      <w:r w:rsidRPr="00660D61">
        <w:rPr>
          <w:rFonts w:ascii="Times New Roman" w:eastAsia="Times New Roman" w:hAnsi="Times New Roman"/>
          <w:sz w:val="24"/>
          <w:szCs w:val="24"/>
        </w:rPr>
        <w:t>anticipated changes in care delivery including but not limited to new and innovative services, service mix, value-based payment model adoption (including risk assumption)</w:t>
      </w:r>
      <w:r w:rsidRPr="00660D61">
        <w:rPr>
          <w:rFonts w:ascii="Times New Roman" w:hAnsi="Times New Roman"/>
          <w:sz w:val="24"/>
          <w:szCs w:val="24"/>
        </w:rPr>
        <w:t>; and</w:t>
      </w:r>
    </w:p>
    <w:p w14:paraId="70EFA7F2" w14:textId="77777777" w:rsidR="00660D61" w:rsidRPr="00C534F2" w:rsidRDefault="00E92682" w:rsidP="004804B3">
      <w:pPr>
        <w:pStyle w:val="ListParagraph"/>
        <w:numPr>
          <w:ilvl w:val="1"/>
          <w:numId w:val="9"/>
        </w:numPr>
        <w:spacing w:afterLines="200" w:after="480"/>
        <w:rPr>
          <w:rFonts w:ascii="Times New Roman" w:hAnsi="Times New Roman"/>
          <w:sz w:val="24"/>
          <w:szCs w:val="24"/>
        </w:rPr>
      </w:pPr>
      <w:r w:rsidRPr="00660D61">
        <w:rPr>
          <w:rFonts w:ascii="Times New Roman" w:eastAsia="Times New Roman" w:hAnsi="Times New Roman"/>
          <w:sz w:val="24"/>
          <w:szCs w:val="24"/>
        </w:rPr>
        <w:t>Anticipated changes in provider network configuration, and the expected impact on service utilization</w:t>
      </w:r>
      <w:r w:rsidR="00660D61">
        <w:rPr>
          <w:rFonts w:ascii="Times New Roman" w:eastAsia="Times New Roman" w:hAnsi="Times New Roman"/>
          <w:sz w:val="24"/>
          <w:szCs w:val="24"/>
        </w:rPr>
        <w:t>.</w:t>
      </w:r>
    </w:p>
    <w:p w14:paraId="350AF27D" w14:textId="77777777" w:rsidR="00C534F2" w:rsidRPr="00660D61" w:rsidRDefault="00C534F2" w:rsidP="00C534F2">
      <w:pPr>
        <w:pStyle w:val="ListParagraph"/>
        <w:spacing w:afterLines="200" w:after="480"/>
        <w:ind w:left="1440"/>
        <w:rPr>
          <w:rFonts w:ascii="Times New Roman" w:hAnsi="Times New Roman"/>
          <w:sz w:val="24"/>
          <w:szCs w:val="24"/>
        </w:rPr>
      </w:pPr>
    </w:p>
    <w:p w14:paraId="00057DC1" w14:textId="73073A25" w:rsidR="00660D61" w:rsidRDefault="00E92682"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Provide a narrative description of</w:t>
      </w:r>
      <w:r w:rsidR="0021241A" w:rsidRPr="00660D61">
        <w:rPr>
          <w:rFonts w:ascii="Times New Roman" w:hAnsi="Times New Roman"/>
          <w:sz w:val="24"/>
          <w:szCs w:val="24"/>
        </w:rPr>
        <w:t xml:space="preserve"> </w:t>
      </w:r>
      <w:r w:rsidRPr="00660D61">
        <w:rPr>
          <w:rFonts w:ascii="Times New Roman" w:hAnsi="Times New Roman"/>
          <w:sz w:val="24"/>
          <w:szCs w:val="24"/>
        </w:rPr>
        <w:t>the flow of funds in the system</w:t>
      </w:r>
      <w:r w:rsidR="003C2F7A">
        <w:rPr>
          <w:rFonts w:ascii="Times New Roman" w:hAnsi="Times New Roman"/>
          <w:sz w:val="24"/>
          <w:szCs w:val="24"/>
        </w:rPr>
        <w:t xml:space="preserve"> or, if described in </w:t>
      </w:r>
      <w:r w:rsidR="000F135A">
        <w:rPr>
          <w:rFonts w:ascii="Times New Roman" w:hAnsi="Times New Roman"/>
          <w:sz w:val="24"/>
          <w:szCs w:val="24"/>
        </w:rPr>
        <w:t xml:space="preserve">the ACO’s 2018 </w:t>
      </w:r>
      <w:r w:rsidR="003C2F7A">
        <w:rPr>
          <w:rFonts w:ascii="Times New Roman" w:hAnsi="Times New Roman"/>
          <w:sz w:val="24"/>
          <w:szCs w:val="24"/>
        </w:rPr>
        <w:t>budget submission, any changes</w:t>
      </w:r>
      <w:r w:rsidR="0021241A" w:rsidRPr="00660D61">
        <w:rPr>
          <w:rFonts w:ascii="Times New Roman" w:hAnsi="Times New Roman"/>
          <w:sz w:val="24"/>
          <w:szCs w:val="24"/>
        </w:rPr>
        <w:t xml:space="preserve"> from </w:t>
      </w:r>
      <w:r w:rsidR="000F135A">
        <w:rPr>
          <w:rFonts w:ascii="Times New Roman" w:hAnsi="Times New Roman"/>
          <w:sz w:val="24"/>
          <w:szCs w:val="24"/>
        </w:rPr>
        <w:t xml:space="preserve">that </w:t>
      </w:r>
      <w:r w:rsidR="0021241A" w:rsidRPr="00660D61">
        <w:rPr>
          <w:rFonts w:ascii="Times New Roman" w:hAnsi="Times New Roman"/>
          <w:sz w:val="24"/>
          <w:szCs w:val="24"/>
        </w:rPr>
        <w:t>submission</w:t>
      </w:r>
      <w:r w:rsidRPr="00660D61">
        <w:rPr>
          <w:rFonts w:ascii="Times New Roman" w:hAnsi="Times New Roman"/>
          <w:sz w:val="24"/>
          <w:szCs w:val="24"/>
        </w:rPr>
        <w:t>. The description should include the flow of funds from payers to the ACO, and from the ACO to its providers.</w:t>
      </w:r>
      <w:r w:rsidR="009763DA">
        <w:rPr>
          <w:rFonts w:ascii="Times New Roman" w:hAnsi="Times New Roman"/>
          <w:sz w:val="24"/>
          <w:szCs w:val="24"/>
        </w:rPr>
        <w:t xml:space="preserve"> </w:t>
      </w:r>
      <w:r w:rsidRPr="00660D61">
        <w:rPr>
          <w:rFonts w:ascii="Times New Roman" w:hAnsi="Times New Roman"/>
          <w:sz w:val="24"/>
          <w:szCs w:val="24"/>
        </w:rPr>
        <w:t>The description should demonstrate the ability of the ACO to maintain sufficient funds to support its administrative operations and meet provider payment obligations.</w:t>
      </w:r>
    </w:p>
    <w:p w14:paraId="6DB60E82" w14:textId="77777777" w:rsidR="00660D61" w:rsidRPr="00660D61" w:rsidRDefault="00660D61" w:rsidP="00C534F2">
      <w:pPr>
        <w:pStyle w:val="ListParagraph"/>
        <w:spacing w:afterLines="200" w:after="480"/>
        <w:rPr>
          <w:rFonts w:ascii="Times New Roman" w:hAnsi="Times New Roman"/>
          <w:sz w:val="24"/>
          <w:szCs w:val="24"/>
        </w:rPr>
      </w:pPr>
    </w:p>
    <w:p w14:paraId="7C57704F" w14:textId="77777777" w:rsidR="00660D61" w:rsidRPr="00660D61" w:rsidRDefault="005C4B1C" w:rsidP="004804B3">
      <w:pPr>
        <w:pStyle w:val="ListParagraph"/>
        <w:numPr>
          <w:ilvl w:val="0"/>
          <w:numId w:val="9"/>
        </w:numPr>
        <w:spacing w:afterLines="200" w:after="480"/>
        <w:rPr>
          <w:rFonts w:ascii="Times New Roman" w:hAnsi="Times New Roman"/>
          <w:sz w:val="24"/>
          <w:szCs w:val="24"/>
        </w:rPr>
      </w:pPr>
      <w:r w:rsidRPr="00660D61">
        <w:rPr>
          <w:rFonts w:ascii="Times New Roman" w:eastAsia="Times New Roman" w:hAnsi="Times New Roman"/>
          <w:sz w:val="24"/>
          <w:szCs w:val="24"/>
        </w:rPr>
        <w:t xml:space="preserve">Provide a quantitative analysis with accompanying narrative to demonstrate how the ACO would manage the financial liability for 2019 through the risk programs included in Part 3 should the ACO’s losses equal </w:t>
      </w:r>
      <w:r w:rsidR="001339DA" w:rsidRPr="00660D61">
        <w:rPr>
          <w:rFonts w:ascii="Times New Roman" w:eastAsia="Times New Roman" w:hAnsi="Times New Roman"/>
          <w:sz w:val="24"/>
          <w:szCs w:val="24"/>
        </w:rPr>
        <w:t xml:space="preserve">to </w:t>
      </w:r>
      <w:r w:rsidRPr="00660D61">
        <w:rPr>
          <w:rFonts w:ascii="Times New Roman" w:eastAsia="Times New Roman" w:hAnsi="Times New Roman"/>
          <w:sz w:val="24"/>
          <w:szCs w:val="24"/>
        </w:rPr>
        <w:t>100% of maximum downside exposure.</w:t>
      </w:r>
      <w:r w:rsidR="008B4FEB">
        <w:rPr>
          <w:rFonts w:ascii="Times New Roman" w:eastAsia="Times New Roman" w:hAnsi="Times New Roman"/>
          <w:sz w:val="24"/>
          <w:szCs w:val="24"/>
        </w:rPr>
        <w:t xml:space="preserve"> </w:t>
      </w:r>
      <w:r w:rsidRPr="00660D61">
        <w:rPr>
          <w:rFonts w:ascii="Times New Roman" w:eastAsia="Times New Roman" w:hAnsi="Times New Roman"/>
          <w:sz w:val="24"/>
          <w:szCs w:val="24"/>
        </w:rPr>
        <w:t>As part of the narrative response, describe your full risk mitigation plan to cover this liability and the mitigation plan for any contracted providers to which risk is being delegated or with which risk is being shared.</w:t>
      </w:r>
      <w:r w:rsidR="00F2184A">
        <w:rPr>
          <w:rFonts w:ascii="Times New Roman" w:eastAsia="Times New Roman" w:hAnsi="Times New Roman"/>
          <w:sz w:val="24"/>
          <w:szCs w:val="24"/>
        </w:rPr>
        <w:t xml:space="preserve"> </w:t>
      </w:r>
      <w:r w:rsidRPr="00660D61">
        <w:rPr>
          <w:rFonts w:ascii="Times New Roman" w:eastAsia="Times New Roman" w:hAnsi="Times New Roman"/>
          <w:sz w:val="24"/>
          <w:szCs w:val="24"/>
        </w:rPr>
        <w:t>This response is to include, but is not limited to:</w:t>
      </w:r>
    </w:p>
    <w:p w14:paraId="417C81A8" w14:textId="77777777" w:rsidR="00660D61" w:rsidRDefault="00660D61" w:rsidP="00C534F2">
      <w:pPr>
        <w:pStyle w:val="ListParagraph"/>
        <w:spacing w:afterLines="200" w:after="480"/>
        <w:ind w:left="1440"/>
        <w:rPr>
          <w:rFonts w:ascii="Times New Roman" w:hAnsi="Times New Roman"/>
          <w:sz w:val="24"/>
          <w:szCs w:val="24"/>
        </w:rPr>
      </w:pPr>
    </w:p>
    <w:p w14:paraId="6086E6B7" w14:textId="77777777"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Portion of the risk delegated through fixed payment models to ACO-contracted providers and the percentage overrun on total expecting spending outside the ACO’s fixed payment models that would result in losses of 75% and 100% of the ACO’s maximum downside exposure;</w:t>
      </w:r>
    </w:p>
    <w:p w14:paraId="324DEEC5" w14:textId="77777777"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Portion of risk covered by ACO providers through mechanisms other than fixed payment models (e.g., withholds, commitment to fund losses at annual settlement, etc.);</w:t>
      </w:r>
    </w:p>
    <w:p w14:paraId="72CDD1CE" w14:textId="77777777"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lastRenderedPageBreak/>
        <w:t xml:space="preserve">Portion of risk covered by reserves, collateral, or other </w:t>
      </w:r>
      <w:r w:rsidRPr="00100310">
        <w:rPr>
          <w:rFonts w:ascii="Times New Roman" w:hAnsi="Times New Roman"/>
          <w:sz w:val="24"/>
          <w:szCs w:val="24"/>
        </w:rPr>
        <w:t>liquid security</w:t>
      </w:r>
      <w:r w:rsidR="002A752E" w:rsidRPr="00100310">
        <w:rPr>
          <w:rFonts w:ascii="Times New Roman" w:hAnsi="Times New Roman"/>
          <w:sz w:val="24"/>
          <w:szCs w:val="24"/>
        </w:rPr>
        <w:t xml:space="preserve">, </w:t>
      </w:r>
      <w:r w:rsidRPr="00100310">
        <w:rPr>
          <w:rFonts w:ascii="Times New Roman" w:hAnsi="Times New Roman"/>
          <w:sz w:val="24"/>
          <w:szCs w:val="24"/>
        </w:rPr>
        <w:t>whether</w:t>
      </w:r>
      <w:r w:rsidRPr="00660D61">
        <w:rPr>
          <w:rFonts w:ascii="Times New Roman" w:hAnsi="Times New Roman"/>
          <w:sz w:val="24"/>
          <w:szCs w:val="24"/>
        </w:rPr>
        <w:t xml:space="preserve"> established as a program contractual requirement or as part of the ACO’s risk management plan;</w:t>
      </w:r>
    </w:p>
    <w:p w14:paraId="5CF6CEA9" w14:textId="77777777"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Portion of the risk covered by reinsurance;</w:t>
      </w:r>
    </w:p>
    <w:p w14:paraId="036308EF" w14:textId="77777777"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Portion of the risk covered through any other mechanism (please specify);</w:t>
      </w:r>
    </w:p>
    <w:p w14:paraId="095A5CA5" w14:textId="487936C6" w:rsidR="00660D61" w:rsidRDefault="005C4B1C" w:rsidP="004804B3">
      <w:pPr>
        <w:pStyle w:val="ListParagraph"/>
        <w:numPr>
          <w:ilvl w:val="1"/>
          <w:numId w:val="9"/>
        </w:numPr>
        <w:spacing w:afterLines="200" w:after="480"/>
        <w:rPr>
          <w:rFonts w:ascii="Times New Roman" w:hAnsi="Times New Roman"/>
          <w:sz w:val="24"/>
          <w:szCs w:val="24"/>
        </w:rPr>
      </w:pPr>
      <w:r w:rsidRPr="00660D61">
        <w:rPr>
          <w:rFonts w:ascii="Times New Roman" w:hAnsi="Times New Roman"/>
          <w:sz w:val="24"/>
          <w:szCs w:val="24"/>
        </w:rPr>
        <w:t>Any risk management or financial solvency requirements imposed on the ACO payers under ACO program contracts appearing in Part 3.</w:t>
      </w:r>
    </w:p>
    <w:p w14:paraId="6AA0D2AC" w14:textId="77777777" w:rsidR="00660D61" w:rsidRDefault="00660D61" w:rsidP="00C534F2">
      <w:pPr>
        <w:pStyle w:val="ListParagraph"/>
        <w:spacing w:afterLines="200" w:after="480"/>
        <w:rPr>
          <w:rFonts w:ascii="Times New Roman" w:hAnsi="Times New Roman"/>
          <w:sz w:val="24"/>
          <w:szCs w:val="24"/>
        </w:rPr>
      </w:pPr>
    </w:p>
    <w:p w14:paraId="36BEFB2F" w14:textId="77777777" w:rsidR="00660D61" w:rsidRDefault="00E92682"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 xml:space="preserve">Provide </w:t>
      </w:r>
      <w:r w:rsidR="00E929A2" w:rsidRPr="00660D61">
        <w:rPr>
          <w:rFonts w:ascii="Times New Roman" w:hAnsi="Times New Roman"/>
          <w:sz w:val="24"/>
          <w:szCs w:val="24"/>
        </w:rPr>
        <w:t xml:space="preserve">an </w:t>
      </w:r>
      <w:r w:rsidRPr="00660D61">
        <w:rPr>
          <w:rFonts w:ascii="Times New Roman" w:hAnsi="Times New Roman"/>
          <w:sz w:val="24"/>
          <w:szCs w:val="24"/>
        </w:rPr>
        <w:t xml:space="preserve">actuarial </w:t>
      </w:r>
      <w:r w:rsidR="00E929A2" w:rsidRPr="00660D61">
        <w:rPr>
          <w:rFonts w:ascii="Times New Roman" w:hAnsi="Times New Roman"/>
          <w:sz w:val="24"/>
          <w:szCs w:val="24"/>
        </w:rPr>
        <w:t xml:space="preserve">opinion </w:t>
      </w:r>
      <w:r w:rsidRPr="00660D61">
        <w:rPr>
          <w:rFonts w:ascii="Times New Roman" w:hAnsi="Times New Roman"/>
          <w:sz w:val="24"/>
          <w:szCs w:val="24"/>
        </w:rPr>
        <w:t>that the risk-bearing arrangements between the ACO and payers are not expected to threaten the financial solvency of the ACO.</w:t>
      </w:r>
    </w:p>
    <w:p w14:paraId="57B706BA" w14:textId="77777777" w:rsidR="00660D61" w:rsidRDefault="00660D61" w:rsidP="00C534F2">
      <w:pPr>
        <w:pStyle w:val="ListParagraph"/>
        <w:spacing w:afterLines="200" w:after="480"/>
        <w:rPr>
          <w:rFonts w:ascii="Times New Roman" w:hAnsi="Times New Roman"/>
          <w:sz w:val="24"/>
          <w:szCs w:val="24"/>
        </w:rPr>
      </w:pPr>
    </w:p>
    <w:p w14:paraId="2389E071" w14:textId="77777777" w:rsidR="00BF69F0" w:rsidRPr="00660D61" w:rsidRDefault="00BF69F0" w:rsidP="004804B3">
      <w:pPr>
        <w:pStyle w:val="ListParagraph"/>
        <w:numPr>
          <w:ilvl w:val="0"/>
          <w:numId w:val="9"/>
        </w:numPr>
        <w:spacing w:afterLines="200" w:after="480"/>
        <w:rPr>
          <w:rFonts w:ascii="Times New Roman" w:hAnsi="Times New Roman"/>
          <w:sz w:val="24"/>
          <w:szCs w:val="24"/>
        </w:rPr>
      </w:pPr>
      <w:r w:rsidRPr="00660D61">
        <w:rPr>
          <w:rFonts w:ascii="Times New Roman" w:hAnsi="Times New Roman"/>
          <w:sz w:val="24"/>
          <w:szCs w:val="24"/>
        </w:rPr>
        <w:t xml:space="preserve">Provide any </w:t>
      </w:r>
      <w:r w:rsidR="00423336" w:rsidRPr="00660D61">
        <w:rPr>
          <w:rFonts w:ascii="Times New Roman" w:hAnsi="Times New Roman"/>
          <w:sz w:val="24"/>
          <w:szCs w:val="24"/>
        </w:rPr>
        <w:t>further documentation (i.e. policies) for the ACO</w:t>
      </w:r>
      <w:r w:rsidR="00457464" w:rsidRPr="00660D61">
        <w:rPr>
          <w:rFonts w:ascii="Times New Roman" w:hAnsi="Times New Roman"/>
          <w:sz w:val="24"/>
          <w:szCs w:val="24"/>
        </w:rPr>
        <w:t>’</w:t>
      </w:r>
      <w:r w:rsidR="00423336" w:rsidRPr="00660D61">
        <w:rPr>
          <w:rFonts w:ascii="Times New Roman" w:hAnsi="Times New Roman"/>
          <w:sz w:val="24"/>
          <w:szCs w:val="24"/>
        </w:rPr>
        <w:t>s management of financial risk</w:t>
      </w:r>
      <w:r w:rsidRPr="00660D61">
        <w:rPr>
          <w:rFonts w:ascii="Times New Roman" w:hAnsi="Times New Roman"/>
          <w:sz w:val="24"/>
          <w:szCs w:val="24"/>
        </w:rPr>
        <w:t>.</w:t>
      </w:r>
    </w:p>
    <w:p w14:paraId="7B7424D7" w14:textId="0BDC386A" w:rsidR="00A65CCB" w:rsidRDefault="00AF16B9" w:rsidP="00E50140">
      <w:pPr>
        <w:pStyle w:val="Heading2"/>
      </w:pPr>
      <w:r>
        <w:t>Section</w:t>
      </w:r>
      <w:r w:rsidRPr="00244659">
        <w:t xml:space="preserve"> </w:t>
      </w:r>
      <w:bookmarkStart w:id="9" w:name="_Hlk515373314"/>
      <w:r w:rsidR="00E92682" w:rsidRPr="00244659">
        <w:t xml:space="preserve">5: ACO </w:t>
      </w:r>
      <w:r w:rsidR="00911DF3" w:rsidRPr="00244659">
        <w:t xml:space="preserve">QUALITY, POPULATION HEALTH, </w:t>
      </w:r>
      <w:r w:rsidR="00E92682" w:rsidRPr="00244659">
        <w:t>MODEL OF CARE</w:t>
      </w:r>
      <w:r w:rsidR="00911DF3" w:rsidRPr="00244659">
        <w:t>,</w:t>
      </w:r>
      <w:r w:rsidR="00E92682" w:rsidRPr="00244659">
        <w:t xml:space="preserve"> AND COMMUNITY INTEGRATION</w:t>
      </w:r>
      <w:r w:rsidR="00911DF3" w:rsidRPr="00244659">
        <w:t xml:space="preserve"> INITIATIVES</w:t>
      </w:r>
      <w:bookmarkEnd w:id="9"/>
    </w:p>
    <w:p w14:paraId="31B64B7C" w14:textId="041E2F22" w:rsidR="00E02957" w:rsidRDefault="007B08F7" w:rsidP="004804B3">
      <w:pPr>
        <w:pStyle w:val="ListParagraph"/>
        <w:numPr>
          <w:ilvl w:val="0"/>
          <w:numId w:val="10"/>
        </w:numPr>
        <w:rPr>
          <w:rFonts w:ascii="Times New Roman" w:hAnsi="Times New Roman"/>
          <w:sz w:val="24"/>
          <w:szCs w:val="24"/>
        </w:rPr>
      </w:pPr>
      <w:r w:rsidRPr="00E02957">
        <w:rPr>
          <w:rFonts w:ascii="Times New Roman" w:hAnsi="Times New Roman"/>
          <w:sz w:val="24"/>
          <w:szCs w:val="24"/>
        </w:rPr>
        <w:t xml:space="preserve">List </w:t>
      </w:r>
      <w:r w:rsidR="0030413E" w:rsidRPr="00E02957">
        <w:rPr>
          <w:rFonts w:ascii="Times New Roman" w:hAnsi="Times New Roman"/>
          <w:sz w:val="24"/>
          <w:szCs w:val="24"/>
        </w:rPr>
        <w:t xml:space="preserve">in </w:t>
      </w:r>
      <w:r w:rsidR="00FC4A53" w:rsidRPr="00E02957">
        <w:rPr>
          <w:rFonts w:ascii="Times New Roman" w:hAnsi="Times New Roman"/>
          <w:sz w:val="24"/>
          <w:szCs w:val="24"/>
        </w:rPr>
        <w:t xml:space="preserve">the table in </w:t>
      </w:r>
      <w:r w:rsidR="00FC4A53" w:rsidRPr="00E02957">
        <w:rPr>
          <w:rFonts w:ascii="Times New Roman" w:hAnsi="Times New Roman"/>
          <w:b/>
          <w:sz w:val="24"/>
          <w:szCs w:val="24"/>
        </w:rPr>
        <w:t>Appendix 5.1</w:t>
      </w:r>
      <w:r w:rsidR="001570CA" w:rsidRPr="00E02957">
        <w:rPr>
          <w:rFonts w:ascii="Times New Roman" w:hAnsi="Times New Roman"/>
          <w:b/>
          <w:sz w:val="24"/>
          <w:szCs w:val="24"/>
        </w:rPr>
        <w:t xml:space="preserve">, </w:t>
      </w:r>
      <w:r w:rsidR="00511954">
        <w:rPr>
          <w:rFonts w:ascii="Times New Roman" w:hAnsi="Times New Roman"/>
          <w:b/>
          <w:sz w:val="24"/>
          <w:szCs w:val="24"/>
        </w:rPr>
        <w:t xml:space="preserve">2018 and 2019 ACO Clinical Priority Areas, </w:t>
      </w:r>
      <w:r w:rsidRPr="00E02957">
        <w:rPr>
          <w:rFonts w:ascii="Times New Roman" w:hAnsi="Times New Roman"/>
          <w:sz w:val="24"/>
          <w:szCs w:val="24"/>
        </w:rPr>
        <w:t>the ACO’s 2018</w:t>
      </w:r>
      <w:r w:rsidR="0030413E" w:rsidRPr="00E02957">
        <w:rPr>
          <w:rFonts w:ascii="Times New Roman" w:hAnsi="Times New Roman"/>
          <w:sz w:val="24"/>
          <w:szCs w:val="24"/>
        </w:rPr>
        <w:t xml:space="preserve"> clinical and program priorities, including metrics, targets, and results to date.</w:t>
      </w:r>
      <w:r w:rsidR="00FD71C8">
        <w:rPr>
          <w:rFonts w:ascii="Times New Roman" w:hAnsi="Times New Roman"/>
          <w:sz w:val="24"/>
          <w:szCs w:val="24"/>
        </w:rPr>
        <w:t xml:space="preserve"> </w:t>
      </w:r>
      <w:r w:rsidR="0030413E" w:rsidRPr="00E02957">
        <w:rPr>
          <w:rFonts w:ascii="Times New Roman" w:hAnsi="Times New Roman"/>
          <w:sz w:val="24"/>
          <w:szCs w:val="24"/>
        </w:rPr>
        <w:t xml:space="preserve">In addition, list </w:t>
      </w:r>
      <w:r w:rsidRPr="00E02957">
        <w:rPr>
          <w:rFonts w:ascii="Times New Roman" w:hAnsi="Times New Roman"/>
          <w:sz w:val="24"/>
          <w:szCs w:val="24"/>
        </w:rPr>
        <w:t xml:space="preserve">2019 clinical </w:t>
      </w:r>
      <w:r w:rsidR="008E6954" w:rsidRPr="00E02957">
        <w:rPr>
          <w:rFonts w:ascii="Times New Roman" w:hAnsi="Times New Roman"/>
          <w:sz w:val="24"/>
          <w:szCs w:val="24"/>
        </w:rPr>
        <w:t xml:space="preserve">and program </w:t>
      </w:r>
      <w:r w:rsidRPr="00E02957">
        <w:rPr>
          <w:rFonts w:ascii="Times New Roman" w:hAnsi="Times New Roman"/>
          <w:sz w:val="24"/>
          <w:szCs w:val="24"/>
        </w:rPr>
        <w:t>priorities</w:t>
      </w:r>
      <w:r w:rsidR="0030413E" w:rsidRPr="00E02957">
        <w:rPr>
          <w:rFonts w:ascii="Times New Roman" w:hAnsi="Times New Roman"/>
          <w:sz w:val="24"/>
          <w:szCs w:val="24"/>
        </w:rPr>
        <w:t xml:space="preserve">, </w:t>
      </w:r>
      <w:r w:rsidRPr="00E02957">
        <w:rPr>
          <w:rFonts w:ascii="Times New Roman" w:hAnsi="Times New Roman"/>
          <w:sz w:val="24"/>
          <w:szCs w:val="24"/>
        </w:rPr>
        <w:t>metrics</w:t>
      </w:r>
      <w:r w:rsidR="0030413E" w:rsidRPr="00E02957">
        <w:rPr>
          <w:rFonts w:ascii="Times New Roman" w:hAnsi="Times New Roman"/>
          <w:sz w:val="24"/>
          <w:szCs w:val="24"/>
        </w:rPr>
        <w:t>, and targets</w:t>
      </w:r>
      <w:r w:rsidRPr="00E02957">
        <w:rPr>
          <w:rFonts w:ascii="Times New Roman" w:hAnsi="Times New Roman"/>
          <w:sz w:val="24"/>
          <w:szCs w:val="24"/>
        </w:rPr>
        <w:t>.</w:t>
      </w:r>
      <w:r w:rsidR="00FD71C8">
        <w:rPr>
          <w:rFonts w:ascii="Times New Roman" w:hAnsi="Times New Roman"/>
          <w:sz w:val="24"/>
          <w:szCs w:val="24"/>
        </w:rPr>
        <w:t xml:space="preserve"> </w:t>
      </w:r>
      <w:r w:rsidR="00911DF3" w:rsidRPr="00E02957">
        <w:rPr>
          <w:rFonts w:ascii="Times New Roman" w:hAnsi="Times New Roman"/>
          <w:sz w:val="24"/>
          <w:szCs w:val="24"/>
        </w:rPr>
        <w:t>D</w:t>
      </w:r>
      <w:r w:rsidR="0030413E" w:rsidRPr="00E02957">
        <w:rPr>
          <w:rFonts w:ascii="Times New Roman" w:hAnsi="Times New Roman"/>
          <w:sz w:val="24"/>
          <w:szCs w:val="24"/>
        </w:rPr>
        <w:t>escribe in narrative form</w:t>
      </w:r>
      <w:r w:rsidR="00D23351" w:rsidRPr="00E02957">
        <w:rPr>
          <w:rFonts w:ascii="Times New Roman" w:hAnsi="Times New Roman"/>
          <w:sz w:val="24"/>
          <w:szCs w:val="24"/>
        </w:rPr>
        <w:t xml:space="preserve"> progress made on your clinical priorities in the past year</w:t>
      </w:r>
      <w:r w:rsidR="00911DF3" w:rsidRPr="00E02957">
        <w:rPr>
          <w:rFonts w:ascii="Times New Roman" w:hAnsi="Times New Roman"/>
          <w:sz w:val="24"/>
          <w:szCs w:val="24"/>
        </w:rPr>
        <w:t>, including successes</w:t>
      </w:r>
      <w:r w:rsidR="00D23351" w:rsidRPr="00E02957">
        <w:rPr>
          <w:rFonts w:ascii="Times New Roman" w:hAnsi="Times New Roman"/>
          <w:sz w:val="24"/>
          <w:szCs w:val="24"/>
        </w:rPr>
        <w:t xml:space="preserve"> and </w:t>
      </w:r>
      <w:r w:rsidR="00911DF3" w:rsidRPr="00E02957">
        <w:rPr>
          <w:rFonts w:ascii="Times New Roman" w:hAnsi="Times New Roman"/>
          <w:sz w:val="24"/>
          <w:szCs w:val="24"/>
        </w:rPr>
        <w:t xml:space="preserve">opportunities </w:t>
      </w:r>
      <w:r w:rsidR="00D23351" w:rsidRPr="00E02957">
        <w:rPr>
          <w:rFonts w:ascii="Times New Roman" w:hAnsi="Times New Roman"/>
          <w:sz w:val="24"/>
          <w:szCs w:val="24"/>
        </w:rPr>
        <w:t>for improvement.</w:t>
      </w:r>
    </w:p>
    <w:p w14:paraId="397AA5CB" w14:textId="77777777" w:rsidR="00E02957" w:rsidRDefault="00E02957" w:rsidP="00E02957">
      <w:pPr>
        <w:pStyle w:val="ListParagraph"/>
        <w:rPr>
          <w:rFonts w:ascii="Times New Roman" w:hAnsi="Times New Roman"/>
          <w:sz w:val="24"/>
          <w:szCs w:val="24"/>
        </w:rPr>
      </w:pPr>
    </w:p>
    <w:p w14:paraId="31373D1B" w14:textId="590F9184" w:rsidR="00BF69F0" w:rsidRDefault="00DD2B94" w:rsidP="004804B3">
      <w:pPr>
        <w:pStyle w:val="ListParagraph"/>
        <w:numPr>
          <w:ilvl w:val="0"/>
          <w:numId w:val="10"/>
        </w:numPr>
        <w:rPr>
          <w:rFonts w:ascii="Times New Roman" w:hAnsi="Times New Roman"/>
          <w:sz w:val="24"/>
          <w:szCs w:val="24"/>
        </w:rPr>
      </w:pPr>
      <w:r w:rsidRPr="00E02957">
        <w:rPr>
          <w:rFonts w:ascii="Times New Roman" w:hAnsi="Times New Roman"/>
          <w:sz w:val="24"/>
          <w:szCs w:val="24"/>
        </w:rPr>
        <w:t xml:space="preserve">Provide a completed </w:t>
      </w:r>
      <w:r w:rsidRPr="005C316A">
        <w:rPr>
          <w:rFonts w:ascii="Times New Roman" w:hAnsi="Times New Roman"/>
          <w:b/>
          <w:sz w:val="24"/>
          <w:szCs w:val="24"/>
        </w:rPr>
        <w:t>Appendix 5.</w:t>
      </w:r>
      <w:r w:rsidR="00CA095E">
        <w:rPr>
          <w:rFonts w:ascii="Times New Roman" w:hAnsi="Times New Roman"/>
          <w:b/>
          <w:sz w:val="24"/>
          <w:szCs w:val="24"/>
        </w:rPr>
        <w:t>2</w:t>
      </w:r>
      <w:r w:rsidR="00986E1B">
        <w:rPr>
          <w:rFonts w:ascii="Times New Roman" w:hAnsi="Times New Roman"/>
          <w:b/>
          <w:sz w:val="24"/>
          <w:szCs w:val="24"/>
        </w:rPr>
        <w:t xml:space="preserve">, </w:t>
      </w:r>
      <w:r w:rsidR="00511954">
        <w:rPr>
          <w:rFonts w:ascii="Times New Roman" w:hAnsi="Times New Roman"/>
          <w:b/>
          <w:sz w:val="24"/>
          <w:szCs w:val="24"/>
        </w:rPr>
        <w:t xml:space="preserve">2018 and 2019 </w:t>
      </w:r>
      <w:r w:rsidRPr="00E02957">
        <w:rPr>
          <w:rFonts w:ascii="Times New Roman" w:hAnsi="Times New Roman"/>
          <w:b/>
          <w:sz w:val="24"/>
          <w:szCs w:val="24"/>
        </w:rPr>
        <w:t xml:space="preserve">Network and/or ACO Initiatives to </w:t>
      </w:r>
      <w:r w:rsidR="00B47A46" w:rsidRPr="00E02957">
        <w:rPr>
          <w:rFonts w:ascii="Times New Roman" w:hAnsi="Times New Roman"/>
          <w:b/>
          <w:sz w:val="24"/>
          <w:szCs w:val="24"/>
        </w:rPr>
        <w:t>A</w:t>
      </w:r>
      <w:r w:rsidRPr="00E02957">
        <w:rPr>
          <w:rFonts w:ascii="Times New Roman" w:hAnsi="Times New Roman"/>
          <w:b/>
          <w:sz w:val="24"/>
          <w:szCs w:val="24"/>
        </w:rPr>
        <w:t>ddress All-Payer ACO Model Quality Measures</w:t>
      </w:r>
      <w:r w:rsidR="00986E1B">
        <w:rPr>
          <w:rFonts w:ascii="Times New Roman" w:hAnsi="Times New Roman"/>
          <w:b/>
          <w:sz w:val="24"/>
          <w:szCs w:val="24"/>
        </w:rPr>
        <w:t>,</w:t>
      </w:r>
      <w:r w:rsidRPr="00E02957">
        <w:rPr>
          <w:rFonts w:ascii="Times New Roman" w:hAnsi="Times New Roman"/>
          <w:b/>
          <w:sz w:val="24"/>
          <w:szCs w:val="24"/>
        </w:rPr>
        <w:t xml:space="preserve"> </w:t>
      </w:r>
      <w:r w:rsidRPr="00E02957">
        <w:rPr>
          <w:rFonts w:ascii="Times New Roman" w:hAnsi="Times New Roman"/>
          <w:sz w:val="24"/>
          <w:szCs w:val="24"/>
        </w:rPr>
        <w:t xml:space="preserve">to briefly describe </w:t>
      </w:r>
      <w:r w:rsidR="00AD0934">
        <w:rPr>
          <w:rFonts w:ascii="Times New Roman" w:hAnsi="Times New Roman"/>
          <w:sz w:val="24"/>
          <w:szCs w:val="24"/>
        </w:rPr>
        <w:t xml:space="preserve">results to date on </w:t>
      </w:r>
      <w:r w:rsidRPr="00E02957">
        <w:rPr>
          <w:rFonts w:ascii="Times New Roman" w:hAnsi="Times New Roman"/>
          <w:sz w:val="24"/>
          <w:szCs w:val="24"/>
        </w:rPr>
        <w:t xml:space="preserve">ACO initiatives to address </w:t>
      </w:r>
      <w:r w:rsidR="0030413E" w:rsidRPr="00E02957">
        <w:rPr>
          <w:rFonts w:ascii="Times New Roman" w:hAnsi="Times New Roman"/>
          <w:sz w:val="24"/>
          <w:szCs w:val="24"/>
        </w:rPr>
        <w:t xml:space="preserve">the </w:t>
      </w:r>
      <w:r w:rsidR="00911DF3" w:rsidRPr="00E02957">
        <w:rPr>
          <w:rFonts w:ascii="Times New Roman" w:hAnsi="Times New Roman"/>
          <w:sz w:val="24"/>
          <w:szCs w:val="24"/>
        </w:rPr>
        <w:t xml:space="preserve">quality </w:t>
      </w:r>
      <w:r w:rsidRPr="00E02957">
        <w:rPr>
          <w:rFonts w:ascii="Times New Roman" w:hAnsi="Times New Roman"/>
          <w:sz w:val="24"/>
          <w:szCs w:val="24"/>
        </w:rPr>
        <w:t>measures.</w:t>
      </w:r>
    </w:p>
    <w:p w14:paraId="2F2FFEEA" w14:textId="77777777" w:rsidR="00E02957" w:rsidRPr="00E02957" w:rsidRDefault="00E02957" w:rsidP="00E02957">
      <w:pPr>
        <w:pStyle w:val="ListParagraph"/>
        <w:rPr>
          <w:rFonts w:ascii="Times New Roman" w:hAnsi="Times New Roman"/>
          <w:sz w:val="24"/>
          <w:szCs w:val="24"/>
        </w:rPr>
      </w:pPr>
    </w:p>
    <w:p w14:paraId="5F532322" w14:textId="786BA6F2" w:rsidR="00E02957" w:rsidRDefault="00911DF3" w:rsidP="004804B3">
      <w:pPr>
        <w:pStyle w:val="ListParagraph"/>
        <w:numPr>
          <w:ilvl w:val="0"/>
          <w:numId w:val="10"/>
        </w:numPr>
        <w:rPr>
          <w:rFonts w:ascii="Times New Roman" w:hAnsi="Times New Roman"/>
          <w:sz w:val="24"/>
          <w:szCs w:val="24"/>
        </w:rPr>
      </w:pPr>
      <w:r w:rsidRPr="00E02957">
        <w:rPr>
          <w:rFonts w:ascii="Times New Roman" w:hAnsi="Times New Roman"/>
          <w:sz w:val="24"/>
          <w:szCs w:val="24"/>
        </w:rPr>
        <w:t>D</w:t>
      </w:r>
      <w:r w:rsidR="00B73DBC" w:rsidRPr="00E02957">
        <w:rPr>
          <w:rFonts w:ascii="Times New Roman" w:hAnsi="Times New Roman"/>
          <w:sz w:val="24"/>
          <w:szCs w:val="24"/>
        </w:rPr>
        <w:t>e</w:t>
      </w:r>
      <w:r w:rsidR="008D16C6" w:rsidRPr="00E02957">
        <w:rPr>
          <w:rFonts w:ascii="Times New Roman" w:hAnsi="Times New Roman"/>
          <w:sz w:val="24"/>
          <w:szCs w:val="24"/>
        </w:rPr>
        <w:t xml:space="preserve">scribe </w:t>
      </w:r>
      <w:r w:rsidR="00B73DBC" w:rsidRPr="00E02957">
        <w:rPr>
          <w:rFonts w:ascii="Times New Roman" w:hAnsi="Times New Roman"/>
          <w:sz w:val="24"/>
          <w:szCs w:val="24"/>
        </w:rPr>
        <w:t xml:space="preserve">how you </w:t>
      </w:r>
      <w:r w:rsidR="00DD2B94" w:rsidRPr="00E02957">
        <w:rPr>
          <w:rFonts w:ascii="Times New Roman" w:hAnsi="Times New Roman"/>
          <w:sz w:val="24"/>
          <w:szCs w:val="24"/>
        </w:rPr>
        <w:t xml:space="preserve">are using </w:t>
      </w:r>
      <w:r w:rsidR="008612CC" w:rsidRPr="00E02957">
        <w:rPr>
          <w:rFonts w:ascii="Times New Roman" w:hAnsi="Times New Roman"/>
          <w:sz w:val="24"/>
          <w:szCs w:val="24"/>
        </w:rPr>
        <w:t xml:space="preserve">surveys, </w:t>
      </w:r>
      <w:r w:rsidR="00DD2B94" w:rsidRPr="00E02957">
        <w:rPr>
          <w:rFonts w:ascii="Times New Roman" w:hAnsi="Times New Roman"/>
          <w:sz w:val="24"/>
          <w:szCs w:val="24"/>
        </w:rPr>
        <w:t xml:space="preserve">qualitative </w:t>
      </w:r>
      <w:r w:rsidR="008612CC" w:rsidRPr="00E02957">
        <w:rPr>
          <w:rFonts w:ascii="Times New Roman" w:hAnsi="Times New Roman"/>
          <w:sz w:val="24"/>
          <w:szCs w:val="24"/>
        </w:rPr>
        <w:t>input, or other methods to assess</w:t>
      </w:r>
      <w:r w:rsidR="00B73DBC" w:rsidRPr="00E02957">
        <w:rPr>
          <w:rFonts w:ascii="Times New Roman" w:hAnsi="Times New Roman"/>
          <w:sz w:val="24"/>
          <w:szCs w:val="24"/>
        </w:rPr>
        <w:t xml:space="preserve"> </w:t>
      </w:r>
      <w:r w:rsidRPr="00E02957">
        <w:rPr>
          <w:rFonts w:ascii="Times New Roman" w:hAnsi="Times New Roman"/>
          <w:sz w:val="24"/>
          <w:szCs w:val="24"/>
        </w:rPr>
        <w:t xml:space="preserve">and improve </w:t>
      </w:r>
      <w:r w:rsidR="00B73DBC" w:rsidRPr="00E02957">
        <w:rPr>
          <w:rFonts w:ascii="Times New Roman" w:hAnsi="Times New Roman"/>
          <w:sz w:val="24"/>
          <w:szCs w:val="24"/>
        </w:rPr>
        <w:t xml:space="preserve">patient </w:t>
      </w:r>
      <w:r w:rsidR="00DD2B94" w:rsidRPr="00E02957">
        <w:rPr>
          <w:rFonts w:ascii="Times New Roman" w:hAnsi="Times New Roman"/>
          <w:sz w:val="24"/>
          <w:szCs w:val="24"/>
        </w:rPr>
        <w:t xml:space="preserve">experience </w:t>
      </w:r>
      <w:r w:rsidR="00B73DBC" w:rsidRPr="00E02957">
        <w:rPr>
          <w:rFonts w:ascii="Times New Roman" w:hAnsi="Times New Roman"/>
          <w:sz w:val="24"/>
          <w:szCs w:val="24"/>
        </w:rPr>
        <w:t>and provider satisfaction</w:t>
      </w:r>
      <w:r w:rsidR="00DD2B94" w:rsidRPr="00E02957">
        <w:rPr>
          <w:rFonts w:ascii="Times New Roman" w:hAnsi="Times New Roman"/>
          <w:sz w:val="24"/>
          <w:szCs w:val="24"/>
        </w:rPr>
        <w:t xml:space="preserve"> </w:t>
      </w:r>
      <w:r w:rsidR="00D23351" w:rsidRPr="00E02957">
        <w:rPr>
          <w:rFonts w:ascii="Times New Roman" w:hAnsi="Times New Roman"/>
          <w:sz w:val="24"/>
          <w:szCs w:val="24"/>
        </w:rPr>
        <w:t>with</w:t>
      </w:r>
      <w:r w:rsidR="00DD2B94" w:rsidRPr="00E02957">
        <w:rPr>
          <w:rFonts w:ascii="Times New Roman" w:hAnsi="Times New Roman"/>
          <w:sz w:val="24"/>
          <w:szCs w:val="24"/>
        </w:rPr>
        <w:t xml:space="preserve"> the state’</w:t>
      </w:r>
      <w:r w:rsidR="00B15271" w:rsidRPr="00E02957">
        <w:rPr>
          <w:rFonts w:ascii="Times New Roman" w:hAnsi="Times New Roman"/>
          <w:sz w:val="24"/>
          <w:szCs w:val="24"/>
        </w:rPr>
        <w:t>s transition to a</w:t>
      </w:r>
      <w:r w:rsidR="00B73DBC" w:rsidRPr="00E02957">
        <w:rPr>
          <w:rFonts w:ascii="Times New Roman" w:hAnsi="Times New Roman"/>
          <w:sz w:val="24"/>
          <w:szCs w:val="24"/>
        </w:rPr>
        <w:t xml:space="preserve"> value-based payment model</w:t>
      </w:r>
      <w:r w:rsidR="00DD2B94" w:rsidRPr="00E02957">
        <w:rPr>
          <w:rFonts w:ascii="Times New Roman" w:hAnsi="Times New Roman"/>
          <w:sz w:val="24"/>
          <w:szCs w:val="24"/>
        </w:rPr>
        <w:t>.</w:t>
      </w:r>
    </w:p>
    <w:p w14:paraId="54F07C63" w14:textId="77777777" w:rsidR="002534B0" w:rsidRDefault="002534B0" w:rsidP="002534B0">
      <w:pPr>
        <w:pStyle w:val="ListParagraph"/>
        <w:rPr>
          <w:rFonts w:ascii="Times New Roman" w:hAnsi="Times New Roman"/>
          <w:sz w:val="24"/>
          <w:szCs w:val="24"/>
        </w:rPr>
      </w:pPr>
    </w:p>
    <w:p w14:paraId="2FC01ED5" w14:textId="77777777" w:rsidR="002534B0" w:rsidRPr="00AB2ECF" w:rsidRDefault="002534B0" w:rsidP="002534B0">
      <w:pPr>
        <w:pStyle w:val="ListParagraph"/>
        <w:numPr>
          <w:ilvl w:val="0"/>
          <w:numId w:val="10"/>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strategies for expanding capacity in existing primary care practices, including but not limited to reducing administrative burden on such practices.</w:t>
      </w:r>
    </w:p>
    <w:p w14:paraId="1377BE2C" w14:textId="77777777" w:rsidR="00E02957" w:rsidRPr="00E02957" w:rsidRDefault="00E02957" w:rsidP="00E02957">
      <w:pPr>
        <w:pStyle w:val="ListParagraph"/>
        <w:rPr>
          <w:rFonts w:ascii="Times New Roman" w:hAnsi="Times New Roman"/>
          <w:sz w:val="24"/>
          <w:szCs w:val="24"/>
        </w:rPr>
      </w:pPr>
    </w:p>
    <w:p w14:paraId="444462BB" w14:textId="3422AF38" w:rsidR="002B52BF" w:rsidRDefault="00D23351" w:rsidP="004804B3">
      <w:pPr>
        <w:pStyle w:val="ListParagraph"/>
        <w:numPr>
          <w:ilvl w:val="0"/>
          <w:numId w:val="10"/>
        </w:numPr>
        <w:rPr>
          <w:rFonts w:ascii="Times New Roman" w:hAnsi="Times New Roman"/>
          <w:sz w:val="24"/>
          <w:szCs w:val="24"/>
        </w:rPr>
      </w:pPr>
      <w:r w:rsidRPr="00914401">
        <w:rPr>
          <w:rFonts w:ascii="Times New Roman" w:hAnsi="Times New Roman"/>
          <w:sz w:val="24"/>
          <w:szCs w:val="24"/>
        </w:rPr>
        <w:t xml:space="preserve">In </w:t>
      </w:r>
      <w:r w:rsidR="00911DF3" w:rsidRPr="00914401">
        <w:rPr>
          <w:rFonts w:ascii="Times New Roman" w:hAnsi="Times New Roman"/>
          <w:b/>
          <w:sz w:val="24"/>
          <w:szCs w:val="24"/>
        </w:rPr>
        <w:t>Appendix 5.</w:t>
      </w:r>
      <w:r w:rsidR="00A66088">
        <w:rPr>
          <w:rFonts w:ascii="Times New Roman" w:hAnsi="Times New Roman"/>
          <w:b/>
          <w:sz w:val="24"/>
          <w:szCs w:val="24"/>
        </w:rPr>
        <w:t>3</w:t>
      </w:r>
      <w:r w:rsidR="00911DF3" w:rsidRPr="00914401">
        <w:rPr>
          <w:rFonts w:ascii="Times New Roman" w:hAnsi="Times New Roman"/>
          <w:b/>
          <w:sz w:val="24"/>
          <w:szCs w:val="24"/>
        </w:rPr>
        <w:t xml:space="preserve">, </w:t>
      </w:r>
      <w:r w:rsidR="00511954">
        <w:rPr>
          <w:rFonts w:ascii="Times New Roman" w:hAnsi="Times New Roman"/>
          <w:b/>
          <w:sz w:val="24"/>
          <w:szCs w:val="24"/>
        </w:rPr>
        <w:t>ACO Population Risk Stratification Summary Analysis 2018/2019</w:t>
      </w:r>
      <w:r w:rsidRPr="00914401">
        <w:rPr>
          <w:rFonts w:ascii="Times New Roman" w:hAnsi="Times New Roman"/>
          <w:b/>
          <w:sz w:val="24"/>
          <w:szCs w:val="24"/>
        </w:rPr>
        <w:t>,</w:t>
      </w:r>
      <w:r w:rsidRPr="00914401">
        <w:rPr>
          <w:rFonts w:ascii="Times New Roman" w:hAnsi="Times New Roman"/>
          <w:sz w:val="24"/>
          <w:szCs w:val="24"/>
        </w:rPr>
        <w:t xml:space="preserve"> p</w:t>
      </w:r>
      <w:r w:rsidR="00BB35A8" w:rsidRPr="00914401">
        <w:rPr>
          <w:rFonts w:ascii="Times New Roman" w:hAnsi="Times New Roman"/>
          <w:sz w:val="24"/>
          <w:szCs w:val="24"/>
        </w:rPr>
        <w:t>rovide a summary analysis of your population</w:t>
      </w:r>
      <w:r w:rsidR="009C0384" w:rsidRPr="00914401">
        <w:rPr>
          <w:rFonts w:ascii="Times New Roman" w:hAnsi="Times New Roman"/>
          <w:sz w:val="24"/>
          <w:szCs w:val="24"/>
        </w:rPr>
        <w:t>, including variations in risk</w:t>
      </w:r>
      <w:r w:rsidR="00DD2B94" w:rsidRPr="00914401">
        <w:rPr>
          <w:rFonts w:ascii="Times New Roman" w:hAnsi="Times New Roman"/>
          <w:sz w:val="24"/>
          <w:szCs w:val="24"/>
        </w:rPr>
        <w:t xml:space="preserve"> by </w:t>
      </w:r>
      <w:r w:rsidRPr="00914401">
        <w:rPr>
          <w:rFonts w:ascii="Times New Roman" w:hAnsi="Times New Roman"/>
          <w:sz w:val="24"/>
          <w:szCs w:val="24"/>
        </w:rPr>
        <w:t>health service area;</w:t>
      </w:r>
      <w:r w:rsidR="00DD2B94" w:rsidRPr="00914401">
        <w:rPr>
          <w:rFonts w:ascii="Times New Roman" w:hAnsi="Times New Roman"/>
          <w:sz w:val="24"/>
          <w:szCs w:val="24"/>
        </w:rPr>
        <w:t xml:space="preserve"> a breakdown of population distribution </w:t>
      </w:r>
      <w:r w:rsidRPr="00914401">
        <w:rPr>
          <w:rFonts w:ascii="Times New Roman" w:hAnsi="Times New Roman"/>
          <w:sz w:val="24"/>
          <w:szCs w:val="24"/>
        </w:rPr>
        <w:t xml:space="preserve">and associated spend </w:t>
      </w:r>
      <w:r w:rsidR="00DD2B94" w:rsidRPr="00914401">
        <w:rPr>
          <w:rFonts w:ascii="Times New Roman" w:hAnsi="Times New Roman"/>
          <w:sz w:val="24"/>
          <w:szCs w:val="24"/>
        </w:rPr>
        <w:t xml:space="preserve">into the </w:t>
      </w:r>
      <w:r w:rsidR="00B73DBC" w:rsidRPr="00914401">
        <w:rPr>
          <w:rFonts w:ascii="Times New Roman" w:hAnsi="Times New Roman"/>
          <w:sz w:val="24"/>
          <w:szCs w:val="24"/>
        </w:rPr>
        <w:t>fo</w:t>
      </w:r>
      <w:r w:rsidR="00DD2B94" w:rsidRPr="00914401">
        <w:rPr>
          <w:rFonts w:ascii="Times New Roman" w:hAnsi="Times New Roman"/>
          <w:sz w:val="24"/>
          <w:szCs w:val="24"/>
        </w:rPr>
        <w:t xml:space="preserve">ur population health quadrants, </w:t>
      </w:r>
      <w:r w:rsidRPr="00914401">
        <w:rPr>
          <w:rFonts w:ascii="Times New Roman" w:hAnsi="Times New Roman"/>
          <w:sz w:val="24"/>
          <w:szCs w:val="24"/>
        </w:rPr>
        <w:t>by health service area</w:t>
      </w:r>
      <w:r w:rsidR="00914401">
        <w:rPr>
          <w:rFonts w:ascii="Times New Roman" w:hAnsi="Times New Roman"/>
          <w:sz w:val="24"/>
          <w:szCs w:val="24"/>
        </w:rPr>
        <w:t>.</w:t>
      </w:r>
    </w:p>
    <w:p w14:paraId="7A4C1D9A" w14:textId="77777777" w:rsidR="00914401" w:rsidRPr="00914401" w:rsidRDefault="00914401" w:rsidP="00914401">
      <w:pPr>
        <w:pStyle w:val="ListParagraph"/>
        <w:rPr>
          <w:rFonts w:ascii="Times New Roman" w:hAnsi="Times New Roman"/>
          <w:sz w:val="24"/>
          <w:szCs w:val="24"/>
        </w:rPr>
      </w:pPr>
    </w:p>
    <w:p w14:paraId="5336EA6D" w14:textId="7C2A0BD1" w:rsidR="00A24AF0" w:rsidRDefault="00D23351" w:rsidP="004804B3">
      <w:pPr>
        <w:pStyle w:val="ListParagraph"/>
        <w:numPr>
          <w:ilvl w:val="0"/>
          <w:numId w:val="10"/>
        </w:numPr>
        <w:rPr>
          <w:rFonts w:ascii="Times New Roman" w:hAnsi="Times New Roman"/>
          <w:sz w:val="24"/>
          <w:szCs w:val="24"/>
        </w:rPr>
      </w:pPr>
      <w:r w:rsidRPr="002B52BF">
        <w:rPr>
          <w:rFonts w:ascii="Times New Roman" w:hAnsi="Times New Roman"/>
          <w:sz w:val="24"/>
          <w:szCs w:val="24"/>
        </w:rPr>
        <w:t>Provide a progress report on</w:t>
      </w:r>
      <w:r w:rsidR="008612CC" w:rsidRPr="002B52BF">
        <w:rPr>
          <w:rFonts w:ascii="Times New Roman" w:hAnsi="Times New Roman"/>
          <w:sz w:val="24"/>
          <w:szCs w:val="24"/>
        </w:rPr>
        <w:t xml:space="preserve"> the implementation of Care Navigator</w:t>
      </w:r>
      <w:r w:rsidRPr="002B52BF">
        <w:rPr>
          <w:rFonts w:ascii="Times New Roman" w:hAnsi="Times New Roman"/>
          <w:sz w:val="24"/>
          <w:szCs w:val="24"/>
        </w:rPr>
        <w:t>.</w:t>
      </w:r>
      <w:r w:rsidR="008612CC" w:rsidRPr="002B52BF">
        <w:rPr>
          <w:rFonts w:ascii="Times New Roman" w:hAnsi="Times New Roman"/>
          <w:sz w:val="24"/>
          <w:szCs w:val="24"/>
        </w:rPr>
        <w:t xml:space="preserve"> </w:t>
      </w:r>
      <w:r w:rsidR="008D02B4" w:rsidRPr="00AC0AF5">
        <w:rPr>
          <w:rFonts w:ascii="Times New Roman" w:hAnsi="Times New Roman"/>
          <w:sz w:val="24"/>
          <w:szCs w:val="24"/>
        </w:rPr>
        <w:t xml:space="preserve">In </w:t>
      </w:r>
      <w:r w:rsidR="008D02B4" w:rsidRPr="00986E1B">
        <w:rPr>
          <w:rFonts w:ascii="Times New Roman" w:hAnsi="Times New Roman"/>
          <w:b/>
          <w:sz w:val="24"/>
          <w:szCs w:val="24"/>
        </w:rPr>
        <w:t xml:space="preserve">Appendix </w:t>
      </w:r>
      <w:r w:rsidR="008450DF" w:rsidRPr="00986E1B">
        <w:rPr>
          <w:rFonts w:ascii="Times New Roman" w:hAnsi="Times New Roman"/>
          <w:b/>
          <w:sz w:val="24"/>
          <w:szCs w:val="24"/>
        </w:rPr>
        <w:t>2.</w:t>
      </w:r>
      <w:r w:rsidR="00914401" w:rsidRPr="00986E1B">
        <w:rPr>
          <w:rFonts w:ascii="Times New Roman" w:hAnsi="Times New Roman"/>
          <w:b/>
          <w:sz w:val="24"/>
          <w:szCs w:val="24"/>
        </w:rPr>
        <w:t>1</w:t>
      </w:r>
      <w:r w:rsidR="00986E1B">
        <w:rPr>
          <w:rFonts w:ascii="Times New Roman" w:hAnsi="Times New Roman"/>
          <w:b/>
          <w:sz w:val="24"/>
          <w:szCs w:val="24"/>
        </w:rPr>
        <w:t xml:space="preserve">, Provider Network, </w:t>
      </w:r>
      <w:r w:rsidR="00914401" w:rsidRPr="00511954">
        <w:rPr>
          <w:rFonts w:ascii="Times New Roman" w:hAnsi="Times New Roman"/>
          <w:sz w:val="24"/>
          <w:szCs w:val="24"/>
        </w:rPr>
        <w:t>the</w:t>
      </w:r>
      <w:r w:rsidR="00914401">
        <w:rPr>
          <w:rFonts w:ascii="Times New Roman" w:hAnsi="Times New Roman"/>
          <w:sz w:val="24"/>
          <w:szCs w:val="24"/>
        </w:rPr>
        <w:t xml:space="preserve"> </w:t>
      </w:r>
      <w:r w:rsidR="00684798" w:rsidRPr="002B52BF">
        <w:rPr>
          <w:rFonts w:ascii="Times New Roman" w:hAnsi="Times New Roman"/>
          <w:sz w:val="24"/>
          <w:szCs w:val="24"/>
        </w:rPr>
        <w:t xml:space="preserve">ACO will report </w:t>
      </w:r>
      <w:r w:rsidRPr="002B52BF">
        <w:rPr>
          <w:rFonts w:ascii="Times New Roman" w:hAnsi="Times New Roman"/>
          <w:sz w:val="24"/>
          <w:szCs w:val="24"/>
        </w:rPr>
        <w:t xml:space="preserve">the </w:t>
      </w:r>
      <w:r w:rsidR="008612CC" w:rsidRPr="002B52BF">
        <w:rPr>
          <w:rFonts w:ascii="Times New Roman" w:hAnsi="Times New Roman"/>
          <w:sz w:val="24"/>
          <w:szCs w:val="24"/>
        </w:rPr>
        <w:t xml:space="preserve">organizations </w:t>
      </w:r>
      <w:r w:rsidRPr="002B52BF">
        <w:rPr>
          <w:rFonts w:ascii="Times New Roman" w:hAnsi="Times New Roman"/>
          <w:sz w:val="24"/>
          <w:szCs w:val="24"/>
        </w:rPr>
        <w:t xml:space="preserve">that </w:t>
      </w:r>
      <w:r w:rsidR="008612CC" w:rsidRPr="002B52BF">
        <w:rPr>
          <w:rFonts w:ascii="Times New Roman" w:hAnsi="Times New Roman"/>
          <w:sz w:val="24"/>
          <w:szCs w:val="24"/>
        </w:rPr>
        <w:t xml:space="preserve">are using </w:t>
      </w:r>
      <w:r w:rsidRPr="002B52BF">
        <w:rPr>
          <w:rFonts w:ascii="Times New Roman" w:hAnsi="Times New Roman"/>
          <w:sz w:val="24"/>
          <w:szCs w:val="24"/>
        </w:rPr>
        <w:t>the tool by health service area</w:t>
      </w:r>
      <w:r w:rsidR="00684798" w:rsidRPr="002B52BF">
        <w:rPr>
          <w:rFonts w:ascii="Times New Roman" w:hAnsi="Times New Roman"/>
          <w:sz w:val="24"/>
          <w:szCs w:val="24"/>
        </w:rPr>
        <w:t>. In addition, the ACO shall report</w:t>
      </w:r>
      <w:r w:rsidR="00511954">
        <w:rPr>
          <w:rFonts w:ascii="Times New Roman" w:hAnsi="Times New Roman"/>
          <w:sz w:val="24"/>
          <w:szCs w:val="24"/>
        </w:rPr>
        <w:t>:</w:t>
      </w:r>
    </w:p>
    <w:p w14:paraId="44D2768E" w14:textId="56704247" w:rsidR="00914401" w:rsidRDefault="00A24AF0" w:rsidP="00914401">
      <w:pPr>
        <w:pStyle w:val="ListParagraph"/>
        <w:ind w:left="1440"/>
        <w:rPr>
          <w:rFonts w:ascii="Times New Roman" w:hAnsi="Times New Roman"/>
          <w:sz w:val="24"/>
          <w:szCs w:val="24"/>
        </w:rPr>
      </w:pPr>
      <w:r>
        <w:rPr>
          <w:rFonts w:ascii="Times New Roman" w:hAnsi="Times New Roman"/>
          <w:sz w:val="24"/>
          <w:szCs w:val="24"/>
        </w:rPr>
        <w:t>a. The number of active users (i.e.</w:t>
      </w:r>
      <w:r w:rsidR="00986E1B">
        <w:rPr>
          <w:rFonts w:ascii="Times New Roman" w:hAnsi="Times New Roman"/>
          <w:sz w:val="24"/>
          <w:szCs w:val="24"/>
        </w:rPr>
        <w:t xml:space="preserve"> </w:t>
      </w:r>
      <w:r>
        <w:rPr>
          <w:rFonts w:ascii="Times New Roman" w:hAnsi="Times New Roman"/>
          <w:sz w:val="24"/>
          <w:szCs w:val="24"/>
        </w:rPr>
        <w:t>those who use the tool daily</w:t>
      </w:r>
      <w:r w:rsidR="004753C4">
        <w:rPr>
          <w:rFonts w:ascii="Times New Roman" w:hAnsi="Times New Roman"/>
          <w:sz w:val="24"/>
          <w:szCs w:val="24"/>
        </w:rPr>
        <w:t xml:space="preserve"> by Health Service Area</w:t>
      </w:r>
      <w:r w:rsidR="00986E1B">
        <w:rPr>
          <w:rFonts w:ascii="Times New Roman" w:hAnsi="Times New Roman"/>
          <w:sz w:val="24"/>
          <w:szCs w:val="24"/>
        </w:rPr>
        <w:t>);</w:t>
      </w:r>
    </w:p>
    <w:p w14:paraId="4B1EEC87" w14:textId="35CA1AD1" w:rsidR="00914401" w:rsidRDefault="00A24AF0" w:rsidP="00914401">
      <w:pPr>
        <w:pStyle w:val="ListParagraph"/>
        <w:ind w:left="1440"/>
        <w:rPr>
          <w:rFonts w:ascii="Times New Roman" w:hAnsi="Times New Roman"/>
          <w:sz w:val="24"/>
          <w:szCs w:val="24"/>
        </w:rPr>
      </w:pPr>
      <w:r w:rsidRPr="00914401">
        <w:rPr>
          <w:rFonts w:ascii="Times New Roman" w:hAnsi="Times New Roman"/>
          <w:sz w:val="24"/>
          <w:szCs w:val="24"/>
        </w:rPr>
        <w:lastRenderedPageBreak/>
        <w:t xml:space="preserve">b. </w:t>
      </w:r>
      <w:r w:rsidR="00986E1B">
        <w:rPr>
          <w:rFonts w:ascii="Times New Roman" w:hAnsi="Times New Roman"/>
          <w:sz w:val="24"/>
          <w:szCs w:val="24"/>
        </w:rPr>
        <w:t>T</w:t>
      </w:r>
      <w:r w:rsidR="00D23351" w:rsidRPr="00914401">
        <w:rPr>
          <w:rFonts w:ascii="Times New Roman" w:hAnsi="Times New Roman"/>
          <w:sz w:val="24"/>
          <w:szCs w:val="24"/>
        </w:rPr>
        <w:t>he number of</w:t>
      </w:r>
      <w:r w:rsidR="008612CC" w:rsidRPr="00914401">
        <w:rPr>
          <w:rFonts w:ascii="Times New Roman" w:hAnsi="Times New Roman"/>
          <w:sz w:val="24"/>
          <w:szCs w:val="24"/>
        </w:rPr>
        <w:t xml:space="preserve"> patients </w:t>
      </w:r>
      <w:r w:rsidR="00D23351" w:rsidRPr="00914401">
        <w:rPr>
          <w:rFonts w:ascii="Times New Roman" w:hAnsi="Times New Roman"/>
          <w:sz w:val="24"/>
          <w:szCs w:val="24"/>
        </w:rPr>
        <w:t xml:space="preserve">with information in </w:t>
      </w:r>
      <w:r w:rsidR="00444341" w:rsidRPr="00914401">
        <w:rPr>
          <w:rFonts w:ascii="Times New Roman" w:hAnsi="Times New Roman"/>
          <w:sz w:val="24"/>
          <w:szCs w:val="24"/>
        </w:rPr>
        <w:t>the system</w:t>
      </w:r>
      <w:r w:rsidR="004753C4" w:rsidRPr="00914401">
        <w:rPr>
          <w:rFonts w:ascii="Times New Roman" w:hAnsi="Times New Roman"/>
          <w:sz w:val="24"/>
          <w:szCs w:val="24"/>
        </w:rPr>
        <w:t xml:space="preserve"> by Health Service Area</w:t>
      </w:r>
      <w:r w:rsidR="00986E1B">
        <w:rPr>
          <w:rFonts w:ascii="Times New Roman" w:hAnsi="Times New Roman"/>
          <w:sz w:val="24"/>
          <w:szCs w:val="24"/>
        </w:rPr>
        <w:t>;</w:t>
      </w:r>
      <w:r w:rsidR="00684798" w:rsidRPr="00914401">
        <w:rPr>
          <w:rFonts w:ascii="Times New Roman" w:hAnsi="Times New Roman"/>
          <w:sz w:val="24"/>
          <w:szCs w:val="24"/>
        </w:rPr>
        <w:t xml:space="preserve"> </w:t>
      </w:r>
    </w:p>
    <w:p w14:paraId="17A3ECE8" w14:textId="16E7C762" w:rsidR="00A24AF0" w:rsidRPr="00914401" w:rsidRDefault="00914401" w:rsidP="00914401">
      <w:pPr>
        <w:pStyle w:val="ListParagraph"/>
        <w:ind w:left="1440"/>
        <w:rPr>
          <w:rFonts w:ascii="Times New Roman" w:hAnsi="Times New Roman"/>
          <w:sz w:val="24"/>
          <w:szCs w:val="24"/>
        </w:rPr>
      </w:pPr>
      <w:r>
        <w:rPr>
          <w:rFonts w:ascii="Times New Roman" w:hAnsi="Times New Roman"/>
          <w:sz w:val="24"/>
          <w:szCs w:val="24"/>
        </w:rPr>
        <w:t xml:space="preserve">c. </w:t>
      </w:r>
      <w:r w:rsidR="00986E1B">
        <w:rPr>
          <w:rFonts w:ascii="Times New Roman" w:hAnsi="Times New Roman"/>
          <w:sz w:val="24"/>
          <w:szCs w:val="24"/>
        </w:rPr>
        <w:t>T</w:t>
      </w:r>
      <w:r w:rsidR="00A24AF0" w:rsidRPr="00914401">
        <w:rPr>
          <w:rFonts w:ascii="Times New Roman" w:hAnsi="Times New Roman"/>
          <w:sz w:val="24"/>
          <w:szCs w:val="24"/>
        </w:rPr>
        <w:t xml:space="preserve">he </w:t>
      </w:r>
      <w:r w:rsidR="00D23351" w:rsidRPr="00914401">
        <w:rPr>
          <w:rFonts w:ascii="Times New Roman" w:hAnsi="Times New Roman"/>
          <w:sz w:val="24"/>
          <w:szCs w:val="24"/>
        </w:rPr>
        <w:t>number of</w:t>
      </w:r>
      <w:r w:rsidR="00444341" w:rsidRPr="00914401">
        <w:rPr>
          <w:rFonts w:ascii="Times New Roman" w:hAnsi="Times New Roman"/>
          <w:sz w:val="24"/>
          <w:szCs w:val="24"/>
        </w:rPr>
        <w:t xml:space="preserve"> </w:t>
      </w:r>
      <w:r w:rsidR="00911DF3" w:rsidRPr="00914401">
        <w:rPr>
          <w:rFonts w:ascii="Times New Roman" w:hAnsi="Times New Roman"/>
          <w:sz w:val="24"/>
          <w:szCs w:val="24"/>
        </w:rPr>
        <w:t>patients with</w:t>
      </w:r>
      <w:r w:rsidR="00444341" w:rsidRPr="00914401">
        <w:rPr>
          <w:rFonts w:ascii="Times New Roman" w:hAnsi="Times New Roman"/>
          <w:sz w:val="24"/>
          <w:szCs w:val="24"/>
        </w:rPr>
        <w:t xml:space="preserve"> shared care plans</w:t>
      </w:r>
      <w:r w:rsidR="008612CC" w:rsidRPr="00914401">
        <w:rPr>
          <w:rFonts w:ascii="Times New Roman" w:hAnsi="Times New Roman"/>
          <w:sz w:val="24"/>
          <w:szCs w:val="24"/>
        </w:rPr>
        <w:t xml:space="preserve"> in the system</w:t>
      </w:r>
      <w:r w:rsidR="004753C4" w:rsidRPr="00914401">
        <w:rPr>
          <w:rFonts w:ascii="Times New Roman" w:hAnsi="Times New Roman"/>
          <w:sz w:val="24"/>
          <w:szCs w:val="24"/>
        </w:rPr>
        <w:t xml:space="preserve"> by Health Service Area</w:t>
      </w:r>
      <w:r w:rsidR="00986E1B">
        <w:rPr>
          <w:rFonts w:ascii="Times New Roman" w:hAnsi="Times New Roman"/>
          <w:sz w:val="24"/>
          <w:szCs w:val="24"/>
        </w:rPr>
        <w:t>;</w:t>
      </w:r>
      <w:r w:rsidR="00443F42" w:rsidRPr="00914401">
        <w:rPr>
          <w:rFonts w:ascii="Times New Roman" w:hAnsi="Times New Roman"/>
          <w:sz w:val="24"/>
          <w:szCs w:val="24"/>
        </w:rPr>
        <w:t xml:space="preserve"> </w:t>
      </w:r>
    </w:p>
    <w:p w14:paraId="44FECA1A" w14:textId="2CDCF2E7" w:rsidR="00A24AF0" w:rsidRDefault="00A24AF0" w:rsidP="00914401">
      <w:pPr>
        <w:pStyle w:val="ListParagraph"/>
        <w:ind w:left="1440"/>
        <w:rPr>
          <w:rFonts w:ascii="Times New Roman" w:hAnsi="Times New Roman"/>
          <w:sz w:val="24"/>
          <w:szCs w:val="24"/>
        </w:rPr>
      </w:pPr>
      <w:r>
        <w:rPr>
          <w:rFonts w:ascii="Times New Roman" w:hAnsi="Times New Roman"/>
          <w:sz w:val="24"/>
          <w:szCs w:val="24"/>
        </w:rPr>
        <w:t xml:space="preserve">d. A summary of </w:t>
      </w:r>
      <w:r w:rsidR="00443F42" w:rsidRPr="00914401">
        <w:rPr>
          <w:rFonts w:ascii="Times New Roman" w:hAnsi="Times New Roman"/>
          <w:sz w:val="24"/>
          <w:szCs w:val="24"/>
        </w:rPr>
        <w:t>h</w:t>
      </w:r>
      <w:r w:rsidR="008612CC" w:rsidRPr="00914401">
        <w:rPr>
          <w:rFonts w:ascii="Times New Roman" w:hAnsi="Times New Roman"/>
          <w:sz w:val="24"/>
          <w:szCs w:val="24"/>
        </w:rPr>
        <w:t xml:space="preserve">ow you </w:t>
      </w:r>
      <w:r w:rsidR="00911DF3" w:rsidRPr="00914401">
        <w:rPr>
          <w:rFonts w:ascii="Times New Roman" w:hAnsi="Times New Roman"/>
          <w:sz w:val="24"/>
          <w:szCs w:val="24"/>
        </w:rPr>
        <w:t xml:space="preserve">are </w:t>
      </w:r>
      <w:r w:rsidR="008612CC" w:rsidRPr="00914401">
        <w:rPr>
          <w:rFonts w:ascii="Times New Roman" w:hAnsi="Times New Roman"/>
          <w:sz w:val="24"/>
          <w:szCs w:val="24"/>
        </w:rPr>
        <w:t>incorporating provider and patient input</w:t>
      </w:r>
      <w:r w:rsidR="00443F42" w:rsidRPr="00914401">
        <w:rPr>
          <w:rFonts w:ascii="Times New Roman" w:hAnsi="Times New Roman"/>
          <w:sz w:val="24"/>
          <w:szCs w:val="24"/>
        </w:rPr>
        <w:t xml:space="preserve"> </w:t>
      </w:r>
      <w:r w:rsidR="00911DF3" w:rsidRPr="00914401">
        <w:rPr>
          <w:rFonts w:ascii="Times New Roman" w:hAnsi="Times New Roman"/>
          <w:sz w:val="24"/>
          <w:szCs w:val="24"/>
        </w:rPr>
        <w:t xml:space="preserve">on Care Navigator </w:t>
      </w:r>
      <w:r w:rsidR="00443F42" w:rsidRPr="00914401">
        <w:rPr>
          <w:rFonts w:ascii="Times New Roman" w:hAnsi="Times New Roman"/>
          <w:sz w:val="24"/>
          <w:szCs w:val="24"/>
        </w:rPr>
        <w:t>(if possible, include a summary of input from providers who have opted not to use Care Navigator)</w:t>
      </w:r>
      <w:r w:rsidR="00986E1B">
        <w:rPr>
          <w:rFonts w:ascii="Times New Roman" w:hAnsi="Times New Roman"/>
          <w:sz w:val="24"/>
          <w:szCs w:val="24"/>
        </w:rPr>
        <w:t xml:space="preserve">; and </w:t>
      </w:r>
      <w:r w:rsidR="00074283" w:rsidRPr="00914401">
        <w:rPr>
          <w:rFonts w:ascii="Times New Roman" w:hAnsi="Times New Roman"/>
          <w:sz w:val="24"/>
          <w:szCs w:val="24"/>
        </w:rPr>
        <w:t xml:space="preserve"> </w:t>
      </w:r>
    </w:p>
    <w:p w14:paraId="0E8C8A69" w14:textId="3C454D95" w:rsidR="002B52BF" w:rsidRPr="00914401" w:rsidRDefault="00A24AF0" w:rsidP="00914401">
      <w:pPr>
        <w:pStyle w:val="ListParagraph"/>
        <w:ind w:left="1440"/>
        <w:rPr>
          <w:rFonts w:ascii="Times New Roman" w:hAnsi="Times New Roman"/>
          <w:sz w:val="24"/>
          <w:szCs w:val="24"/>
        </w:rPr>
      </w:pPr>
      <w:r>
        <w:rPr>
          <w:rFonts w:ascii="Times New Roman" w:hAnsi="Times New Roman"/>
          <w:sz w:val="24"/>
          <w:szCs w:val="24"/>
        </w:rPr>
        <w:t xml:space="preserve">e. Progress made on </w:t>
      </w:r>
      <w:r w:rsidR="00472888">
        <w:rPr>
          <w:rFonts w:ascii="Times New Roman" w:hAnsi="Times New Roman"/>
          <w:sz w:val="24"/>
          <w:szCs w:val="24"/>
        </w:rPr>
        <w:t>the</w:t>
      </w:r>
      <w:r w:rsidR="00014EEB">
        <w:rPr>
          <w:rFonts w:ascii="Times New Roman" w:hAnsi="Times New Roman"/>
          <w:sz w:val="24"/>
          <w:szCs w:val="24"/>
        </w:rPr>
        <w:t xml:space="preserve"> evaluation plan for </w:t>
      </w:r>
      <w:r>
        <w:rPr>
          <w:rFonts w:ascii="Times New Roman" w:hAnsi="Times New Roman"/>
          <w:sz w:val="24"/>
          <w:szCs w:val="24"/>
        </w:rPr>
        <w:t xml:space="preserve">Care Navigator, as described in </w:t>
      </w:r>
      <w:r w:rsidR="00472888">
        <w:rPr>
          <w:rFonts w:ascii="Times New Roman" w:hAnsi="Times New Roman"/>
          <w:sz w:val="24"/>
          <w:szCs w:val="24"/>
        </w:rPr>
        <w:t>your</w:t>
      </w:r>
      <w:r>
        <w:rPr>
          <w:rFonts w:ascii="Times New Roman" w:hAnsi="Times New Roman"/>
          <w:sz w:val="24"/>
          <w:szCs w:val="24"/>
        </w:rPr>
        <w:t xml:space="preserve"> </w:t>
      </w:r>
      <w:r w:rsidR="00014EEB">
        <w:rPr>
          <w:rFonts w:ascii="Times New Roman" w:hAnsi="Times New Roman"/>
          <w:sz w:val="24"/>
          <w:szCs w:val="24"/>
        </w:rPr>
        <w:t xml:space="preserve">2018 </w:t>
      </w:r>
      <w:r>
        <w:rPr>
          <w:rFonts w:ascii="Times New Roman" w:hAnsi="Times New Roman"/>
          <w:sz w:val="24"/>
          <w:szCs w:val="24"/>
        </w:rPr>
        <w:t xml:space="preserve">budget </w:t>
      </w:r>
      <w:r w:rsidR="00014EEB">
        <w:rPr>
          <w:rFonts w:ascii="Times New Roman" w:hAnsi="Times New Roman"/>
          <w:sz w:val="24"/>
          <w:szCs w:val="24"/>
        </w:rPr>
        <w:t>submission</w:t>
      </w:r>
      <w:r w:rsidR="00986E1B">
        <w:rPr>
          <w:rFonts w:ascii="Times New Roman" w:hAnsi="Times New Roman"/>
          <w:sz w:val="24"/>
          <w:szCs w:val="24"/>
        </w:rPr>
        <w:t>.</w:t>
      </w:r>
      <w:r w:rsidR="00074283" w:rsidRPr="00914401">
        <w:rPr>
          <w:rFonts w:ascii="Times New Roman" w:hAnsi="Times New Roman"/>
          <w:sz w:val="24"/>
          <w:szCs w:val="24"/>
        </w:rPr>
        <w:t xml:space="preserve"> </w:t>
      </w:r>
    </w:p>
    <w:p w14:paraId="40A695E4" w14:textId="77777777" w:rsidR="002B52BF" w:rsidRPr="002B52BF" w:rsidRDefault="002B52BF" w:rsidP="002B52BF">
      <w:pPr>
        <w:pStyle w:val="ListParagraph"/>
        <w:rPr>
          <w:rFonts w:ascii="Times New Roman" w:hAnsi="Times New Roman"/>
          <w:sz w:val="24"/>
          <w:szCs w:val="24"/>
        </w:rPr>
      </w:pPr>
    </w:p>
    <w:p w14:paraId="51D12B10" w14:textId="77777777" w:rsidR="002B52BF" w:rsidRDefault="00443F42" w:rsidP="004804B3">
      <w:pPr>
        <w:pStyle w:val="ListParagraph"/>
        <w:numPr>
          <w:ilvl w:val="0"/>
          <w:numId w:val="10"/>
        </w:numPr>
        <w:rPr>
          <w:rFonts w:ascii="Times New Roman" w:hAnsi="Times New Roman"/>
          <w:sz w:val="24"/>
          <w:szCs w:val="24"/>
        </w:rPr>
      </w:pPr>
      <w:r w:rsidRPr="002B52BF">
        <w:rPr>
          <w:rFonts w:ascii="Times New Roman" w:hAnsi="Times New Roman"/>
          <w:sz w:val="24"/>
          <w:szCs w:val="24"/>
        </w:rPr>
        <w:t>Describe how you are measuring success of the care model, including</w:t>
      </w:r>
      <w:r w:rsidR="00C871F8" w:rsidRPr="002B52BF">
        <w:rPr>
          <w:rFonts w:ascii="Times New Roman" w:hAnsi="Times New Roman"/>
          <w:sz w:val="24"/>
          <w:szCs w:val="24"/>
        </w:rPr>
        <w:t xml:space="preserve"> numbers of patients receiving care management interventions, the number of care management encounters by type of intervention, and measures of success (e.g., utilization by category of service, quality measure results).  Provide results if available.</w:t>
      </w:r>
    </w:p>
    <w:p w14:paraId="606DD97B" w14:textId="77777777" w:rsidR="002B52BF" w:rsidRPr="002B52BF" w:rsidRDefault="002B52BF" w:rsidP="002B52BF">
      <w:pPr>
        <w:pStyle w:val="ListParagraph"/>
        <w:rPr>
          <w:rFonts w:ascii="Times New Roman" w:hAnsi="Times New Roman"/>
          <w:sz w:val="24"/>
          <w:szCs w:val="24"/>
        </w:rPr>
      </w:pPr>
    </w:p>
    <w:p w14:paraId="713D2743" w14:textId="77777777" w:rsidR="002B52BF" w:rsidRDefault="008D16C6" w:rsidP="004804B3">
      <w:pPr>
        <w:pStyle w:val="ListParagraph"/>
        <w:numPr>
          <w:ilvl w:val="0"/>
          <w:numId w:val="10"/>
        </w:numPr>
        <w:rPr>
          <w:rFonts w:ascii="Times New Roman" w:hAnsi="Times New Roman"/>
          <w:sz w:val="24"/>
          <w:szCs w:val="24"/>
        </w:rPr>
      </w:pPr>
      <w:r w:rsidRPr="002B52BF">
        <w:rPr>
          <w:rFonts w:ascii="Times New Roman" w:hAnsi="Times New Roman"/>
          <w:sz w:val="24"/>
          <w:szCs w:val="24"/>
        </w:rPr>
        <w:t xml:space="preserve">Describe the </w:t>
      </w:r>
      <w:r w:rsidR="008612CC" w:rsidRPr="002B52BF">
        <w:rPr>
          <w:rFonts w:ascii="Times New Roman" w:hAnsi="Times New Roman"/>
          <w:sz w:val="24"/>
          <w:szCs w:val="24"/>
        </w:rPr>
        <w:t>ACO’s</w:t>
      </w:r>
      <w:r w:rsidRPr="002B52BF">
        <w:rPr>
          <w:rFonts w:ascii="Times New Roman" w:hAnsi="Times New Roman"/>
          <w:sz w:val="24"/>
          <w:szCs w:val="24"/>
        </w:rPr>
        <w:t xml:space="preserve"> network capacity for substance use disorder (SUD) treatment programs</w:t>
      </w:r>
      <w:r w:rsidR="00C871F8" w:rsidRPr="002B52BF">
        <w:rPr>
          <w:rFonts w:ascii="Times New Roman" w:hAnsi="Times New Roman"/>
          <w:sz w:val="24"/>
          <w:szCs w:val="24"/>
        </w:rPr>
        <w:t>, including number of practices and/or providers participating in MAT programs, wait time information, and available slots for treatment</w:t>
      </w:r>
      <w:r w:rsidRPr="002B52BF">
        <w:rPr>
          <w:rFonts w:ascii="Times New Roman" w:hAnsi="Times New Roman"/>
          <w:sz w:val="24"/>
          <w:szCs w:val="24"/>
        </w:rPr>
        <w:t>. This may include current or planned initiatives</w:t>
      </w:r>
      <w:r w:rsidR="005127B2" w:rsidRPr="002B52BF">
        <w:rPr>
          <w:rFonts w:ascii="Times New Roman" w:hAnsi="Times New Roman"/>
          <w:sz w:val="24"/>
          <w:szCs w:val="24"/>
        </w:rPr>
        <w:t>.</w:t>
      </w:r>
    </w:p>
    <w:p w14:paraId="52181E8A" w14:textId="77777777" w:rsidR="002B52BF" w:rsidRPr="002B52BF" w:rsidRDefault="002B52BF" w:rsidP="002B52BF">
      <w:pPr>
        <w:pStyle w:val="ListParagraph"/>
        <w:rPr>
          <w:rFonts w:ascii="Times New Roman" w:hAnsi="Times New Roman"/>
          <w:sz w:val="24"/>
          <w:szCs w:val="24"/>
        </w:rPr>
      </w:pPr>
    </w:p>
    <w:p w14:paraId="02586EE0" w14:textId="675D8F3C" w:rsidR="002B52BF" w:rsidRPr="00E86707" w:rsidRDefault="00B15271" w:rsidP="004804B3">
      <w:pPr>
        <w:pStyle w:val="ListParagraph"/>
        <w:numPr>
          <w:ilvl w:val="0"/>
          <w:numId w:val="10"/>
        </w:numPr>
        <w:rPr>
          <w:rFonts w:ascii="Times New Roman" w:hAnsi="Times New Roman"/>
          <w:sz w:val="24"/>
          <w:szCs w:val="24"/>
        </w:rPr>
      </w:pPr>
      <w:r w:rsidRPr="00E86707">
        <w:rPr>
          <w:rFonts w:ascii="Times New Roman" w:hAnsi="Times New Roman"/>
          <w:sz w:val="24"/>
          <w:szCs w:val="24"/>
        </w:rPr>
        <w:t xml:space="preserve">Describe implementation of </w:t>
      </w:r>
      <w:r w:rsidR="000D7958" w:rsidRPr="00E86707">
        <w:rPr>
          <w:rFonts w:ascii="Times New Roman" w:hAnsi="Times New Roman"/>
          <w:sz w:val="24"/>
          <w:szCs w:val="24"/>
        </w:rPr>
        <w:t>the</w:t>
      </w:r>
      <w:r w:rsidR="00472888" w:rsidRPr="00E86707">
        <w:rPr>
          <w:rFonts w:ascii="Times New Roman" w:hAnsi="Times New Roman"/>
          <w:sz w:val="24"/>
          <w:szCs w:val="24"/>
        </w:rPr>
        <w:t xml:space="preserve"> </w:t>
      </w:r>
      <w:r w:rsidR="005E3464">
        <w:rPr>
          <w:rFonts w:ascii="Times New Roman" w:hAnsi="Times New Roman"/>
          <w:sz w:val="24"/>
          <w:szCs w:val="24"/>
        </w:rPr>
        <w:t>~</w:t>
      </w:r>
      <w:r w:rsidR="00472888" w:rsidRPr="00E86707">
        <w:rPr>
          <w:rFonts w:ascii="Times New Roman" w:hAnsi="Times New Roman"/>
          <w:sz w:val="24"/>
          <w:szCs w:val="24"/>
        </w:rPr>
        <w:t>$1,577,600</w:t>
      </w:r>
      <w:r w:rsidR="000D7958" w:rsidRPr="00E86707">
        <w:rPr>
          <w:rFonts w:ascii="Times New Roman" w:hAnsi="Times New Roman"/>
          <w:sz w:val="24"/>
          <w:szCs w:val="24"/>
        </w:rPr>
        <w:t xml:space="preserve"> </w:t>
      </w:r>
      <w:r w:rsidR="00472888" w:rsidRPr="00E86707">
        <w:rPr>
          <w:rFonts w:ascii="Times New Roman" w:hAnsi="Times New Roman"/>
          <w:sz w:val="24"/>
          <w:szCs w:val="24"/>
        </w:rPr>
        <w:t xml:space="preserve">outlined in your 2018 </w:t>
      </w:r>
      <w:r w:rsidR="001339DA" w:rsidRPr="00E86707">
        <w:rPr>
          <w:rFonts w:ascii="Times New Roman" w:hAnsi="Times New Roman"/>
          <w:sz w:val="24"/>
          <w:szCs w:val="24"/>
        </w:rPr>
        <w:t xml:space="preserve">Community </w:t>
      </w:r>
      <w:r w:rsidR="000D7958" w:rsidRPr="00E86707">
        <w:rPr>
          <w:rFonts w:ascii="Times New Roman" w:hAnsi="Times New Roman"/>
          <w:sz w:val="24"/>
          <w:szCs w:val="24"/>
        </w:rPr>
        <w:t xml:space="preserve">Program </w:t>
      </w:r>
      <w:r w:rsidR="001339DA" w:rsidRPr="00E86707">
        <w:rPr>
          <w:rFonts w:ascii="Times New Roman" w:hAnsi="Times New Roman"/>
          <w:sz w:val="24"/>
          <w:szCs w:val="24"/>
        </w:rPr>
        <w:t>Investments</w:t>
      </w:r>
      <w:r w:rsidR="000D7958" w:rsidRPr="00E86707">
        <w:rPr>
          <w:rFonts w:ascii="Times New Roman" w:hAnsi="Times New Roman"/>
          <w:sz w:val="24"/>
          <w:szCs w:val="24"/>
        </w:rPr>
        <w:t xml:space="preserve"> 2018 Guidance for, which included expansion of RISE VERMONT. </w:t>
      </w:r>
      <w:r w:rsidR="001339DA" w:rsidRPr="00E86707">
        <w:rPr>
          <w:rFonts w:ascii="Times New Roman" w:hAnsi="Times New Roman"/>
          <w:sz w:val="24"/>
          <w:szCs w:val="24"/>
        </w:rPr>
        <w:t>Include</w:t>
      </w:r>
      <w:r w:rsidRPr="00E86707">
        <w:rPr>
          <w:rFonts w:ascii="Times New Roman" w:hAnsi="Times New Roman"/>
          <w:sz w:val="24"/>
          <w:szCs w:val="24"/>
        </w:rPr>
        <w:t xml:space="preserve"> goals, </w:t>
      </w:r>
      <w:r w:rsidR="00C871F8" w:rsidRPr="00E86707">
        <w:rPr>
          <w:rFonts w:ascii="Times New Roman" w:hAnsi="Times New Roman"/>
          <w:sz w:val="24"/>
          <w:szCs w:val="24"/>
        </w:rPr>
        <w:t xml:space="preserve">metrics, </w:t>
      </w:r>
      <w:r w:rsidRPr="00E86707">
        <w:rPr>
          <w:rFonts w:ascii="Times New Roman" w:hAnsi="Times New Roman"/>
          <w:sz w:val="24"/>
          <w:szCs w:val="24"/>
        </w:rPr>
        <w:t>outcomes, and achievements</w:t>
      </w:r>
      <w:r w:rsidR="00C871F8" w:rsidRPr="00E86707">
        <w:rPr>
          <w:rFonts w:ascii="Times New Roman" w:hAnsi="Times New Roman"/>
          <w:sz w:val="24"/>
          <w:szCs w:val="24"/>
        </w:rPr>
        <w:t xml:space="preserve"> and opportunities for improvement</w:t>
      </w:r>
      <w:r w:rsidRPr="00E86707">
        <w:rPr>
          <w:rFonts w:ascii="Times New Roman" w:hAnsi="Times New Roman"/>
          <w:sz w:val="24"/>
          <w:szCs w:val="24"/>
        </w:rPr>
        <w:t xml:space="preserve"> thus far.</w:t>
      </w:r>
    </w:p>
    <w:p w14:paraId="15A23994" w14:textId="77777777" w:rsidR="002B52BF" w:rsidRPr="002B52BF" w:rsidRDefault="002B52BF" w:rsidP="002B52BF">
      <w:pPr>
        <w:pStyle w:val="ListParagraph"/>
        <w:rPr>
          <w:rFonts w:ascii="Times New Roman" w:hAnsi="Times New Roman"/>
          <w:sz w:val="24"/>
          <w:szCs w:val="24"/>
        </w:rPr>
      </w:pPr>
    </w:p>
    <w:p w14:paraId="0B87B112" w14:textId="7EC74A95" w:rsidR="007C0578" w:rsidRPr="002B52BF" w:rsidRDefault="00511954" w:rsidP="004804B3">
      <w:pPr>
        <w:pStyle w:val="ListParagraph"/>
        <w:numPr>
          <w:ilvl w:val="0"/>
          <w:numId w:val="10"/>
        </w:numPr>
        <w:rPr>
          <w:rFonts w:ascii="Times New Roman" w:hAnsi="Times New Roman"/>
          <w:sz w:val="24"/>
          <w:szCs w:val="24"/>
        </w:rPr>
      </w:pPr>
      <w:r>
        <w:rPr>
          <w:rFonts w:ascii="Times New Roman" w:hAnsi="Times New Roman"/>
          <w:sz w:val="24"/>
          <w:szCs w:val="24"/>
        </w:rPr>
        <w:t xml:space="preserve">Populate </w:t>
      </w:r>
      <w:r w:rsidR="00F4755F" w:rsidRPr="002B52BF">
        <w:rPr>
          <w:rFonts w:ascii="Times New Roman" w:hAnsi="Times New Roman"/>
          <w:b/>
          <w:sz w:val="24"/>
          <w:szCs w:val="24"/>
        </w:rPr>
        <w:t xml:space="preserve">Appendix </w:t>
      </w:r>
      <w:r w:rsidR="00642A77" w:rsidRPr="002B52BF">
        <w:rPr>
          <w:rFonts w:ascii="Times New Roman" w:hAnsi="Times New Roman"/>
          <w:b/>
          <w:sz w:val="24"/>
          <w:szCs w:val="24"/>
        </w:rPr>
        <w:t>5</w:t>
      </w:r>
      <w:r w:rsidR="003C34B7">
        <w:rPr>
          <w:rFonts w:ascii="Times New Roman" w:hAnsi="Times New Roman"/>
          <w:b/>
          <w:sz w:val="24"/>
          <w:szCs w:val="24"/>
        </w:rPr>
        <w:t>.</w:t>
      </w:r>
      <w:r w:rsidR="00F812B1">
        <w:rPr>
          <w:rFonts w:ascii="Times New Roman" w:hAnsi="Times New Roman"/>
          <w:b/>
          <w:sz w:val="24"/>
          <w:szCs w:val="24"/>
        </w:rPr>
        <w:t>4</w:t>
      </w:r>
      <w:r w:rsidR="00C871F8" w:rsidRPr="002B52BF">
        <w:rPr>
          <w:rFonts w:ascii="Times New Roman" w:hAnsi="Times New Roman"/>
          <w:b/>
          <w:sz w:val="24"/>
          <w:szCs w:val="24"/>
        </w:rPr>
        <w:t xml:space="preserve">, </w:t>
      </w:r>
      <w:r>
        <w:rPr>
          <w:rFonts w:ascii="Times New Roman" w:hAnsi="Times New Roman"/>
          <w:b/>
          <w:sz w:val="24"/>
          <w:szCs w:val="24"/>
        </w:rPr>
        <w:t xml:space="preserve">2018 Projected </w:t>
      </w:r>
      <w:r w:rsidR="00F23626" w:rsidRPr="002B52BF">
        <w:rPr>
          <w:rFonts w:ascii="Times New Roman" w:hAnsi="Times New Roman"/>
          <w:b/>
          <w:sz w:val="24"/>
          <w:szCs w:val="24"/>
        </w:rPr>
        <w:t xml:space="preserve">Population Health </w:t>
      </w:r>
      <w:r>
        <w:rPr>
          <w:rFonts w:ascii="Times New Roman" w:hAnsi="Times New Roman"/>
          <w:b/>
          <w:sz w:val="24"/>
          <w:szCs w:val="24"/>
        </w:rPr>
        <w:t xml:space="preserve">Investments Update </w:t>
      </w:r>
      <w:r>
        <w:rPr>
          <w:rFonts w:ascii="Times New Roman" w:hAnsi="Times New Roman"/>
          <w:sz w:val="24"/>
          <w:szCs w:val="24"/>
        </w:rPr>
        <w:t>with information submitted in last budget cycle</w:t>
      </w:r>
      <w:r w:rsidRPr="002B52BF">
        <w:rPr>
          <w:rFonts w:ascii="Times New Roman" w:hAnsi="Times New Roman"/>
          <w:sz w:val="24"/>
          <w:szCs w:val="24"/>
        </w:rPr>
        <w:t xml:space="preserve"> </w:t>
      </w:r>
      <w:r w:rsidRPr="00511954">
        <w:rPr>
          <w:rFonts w:ascii="Times New Roman" w:hAnsi="Times New Roman"/>
          <w:sz w:val="24"/>
          <w:szCs w:val="24"/>
        </w:rPr>
        <w:t xml:space="preserve">and </w:t>
      </w:r>
      <w:r>
        <w:rPr>
          <w:rFonts w:ascii="Times New Roman" w:hAnsi="Times New Roman"/>
          <w:sz w:val="24"/>
          <w:szCs w:val="24"/>
        </w:rPr>
        <w:t>c</w:t>
      </w:r>
      <w:r w:rsidRPr="002B52BF">
        <w:rPr>
          <w:rFonts w:ascii="Times New Roman" w:hAnsi="Times New Roman"/>
          <w:sz w:val="24"/>
          <w:szCs w:val="24"/>
        </w:rPr>
        <w:t xml:space="preserve">omplete </w:t>
      </w:r>
      <w:r>
        <w:rPr>
          <w:rFonts w:ascii="Times New Roman" w:hAnsi="Times New Roman"/>
          <w:b/>
          <w:sz w:val="24"/>
          <w:szCs w:val="24"/>
        </w:rPr>
        <w:t>Appendix 5.</w:t>
      </w:r>
      <w:r w:rsidR="00F812B1">
        <w:rPr>
          <w:rFonts w:ascii="Times New Roman" w:hAnsi="Times New Roman"/>
          <w:b/>
          <w:sz w:val="24"/>
          <w:szCs w:val="24"/>
        </w:rPr>
        <w:t>5</w:t>
      </w:r>
      <w:r>
        <w:rPr>
          <w:rFonts w:ascii="Times New Roman" w:hAnsi="Times New Roman"/>
          <w:b/>
          <w:sz w:val="24"/>
          <w:szCs w:val="24"/>
        </w:rPr>
        <w:t>: 2019 Budgeted Population Health Investments</w:t>
      </w:r>
      <w:r>
        <w:rPr>
          <w:rFonts w:ascii="Times New Roman" w:hAnsi="Times New Roman"/>
          <w:sz w:val="24"/>
          <w:szCs w:val="24"/>
        </w:rPr>
        <w:t xml:space="preserve"> </w:t>
      </w:r>
      <w:r w:rsidR="007C0578" w:rsidRPr="002B52BF">
        <w:rPr>
          <w:rFonts w:ascii="Times New Roman" w:hAnsi="Times New Roman"/>
          <w:sz w:val="24"/>
          <w:szCs w:val="24"/>
        </w:rPr>
        <w:t>to include:</w:t>
      </w:r>
      <w:r w:rsidR="00F23626" w:rsidRPr="002B52BF">
        <w:rPr>
          <w:rFonts w:ascii="Times New Roman" w:hAnsi="Times New Roman"/>
          <w:sz w:val="24"/>
          <w:szCs w:val="24"/>
        </w:rPr>
        <w:t xml:space="preserve"> </w:t>
      </w:r>
    </w:p>
    <w:p w14:paraId="6FA0C2E6"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P</w:t>
      </w:r>
      <w:r w:rsidR="00F23626" w:rsidRPr="008B70E3">
        <w:rPr>
          <w:rFonts w:ascii="Times New Roman" w:hAnsi="Times New Roman"/>
          <w:sz w:val="24"/>
          <w:szCs w:val="24"/>
        </w:rPr>
        <w:t>rogram name</w:t>
      </w:r>
    </w:p>
    <w:p w14:paraId="0561D6B6"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P</w:t>
      </w:r>
      <w:r w:rsidR="00F23626" w:rsidRPr="008B70E3">
        <w:rPr>
          <w:rFonts w:ascii="Times New Roman" w:hAnsi="Times New Roman"/>
          <w:sz w:val="24"/>
          <w:szCs w:val="24"/>
        </w:rPr>
        <w:t>rogram description</w:t>
      </w:r>
    </w:p>
    <w:p w14:paraId="1576BFFD"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I</w:t>
      </w:r>
      <w:r w:rsidR="00F23626" w:rsidRPr="008B70E3">
        <w:rPr>
          <w:rFonts w:ascii="Times New Roman" w:hAnsi="Times New Roman"/>
          <w:sz w:val="24"/>
          <w:szCs w:val="24"/>
        </w:rPr>
        <w:t>nvestment amount</w:t>
      </w:r>
    </w:p>
    <w:p w14:paraId="07B00569"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O</w:t>
      </w:r>
      <w:r w:rsidR="00F23626" w:rsidRPr="008B70E3">
        <w:rPr>
          <w:rFonts w:ascii="Times New Roman" w:hAnsi="Times New Roman"/>
          <w:sz w:val="24"/>
          <w:szCs w:val="24"/>
        </w:rPr>
        <w:t>perational model</w:t>
      </w:r>
      <w:r w:rsidRPr="008B70E3">
        <w:rPr>
          <w:rFonts w:ascii="Times New Roman" w:hAnsi="Times New Roman"/>
          <w:sz w:val="24"/>
          <w:szCs w:val="24"/>
        </w:rPr>
        <w:t>s</w:t>
      </w:r>
    </w:p>
    <w:p w14:paraId="06CC3EFA"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F</w:t>
      </w:r>
      <w:r w:rsidR="00F23626" w:rsidRPr="008B70E3">
        <w:rPr>
          <w:rFonts w:ascii="Times New Roman" w:hAnsi="Times New Roman"/>
          <w:sz w:val="24"/>
          <w:szCs w:val="24"/>
        </w:rPr>
        <w:t>inancial model</w:t>
      </w:r>
      <w:r w:rsidRPr="008B70E3">
        <w:rPr>
          <w:rFonts w:ascii="Times New Roman" w:hAnsi="Times New Roman"/>
          <w:sz w:val="24"/>
          <w:szCs w:val="24"/>
        </w:rPr>
        <w:t>s</w:t>
      </w:r>
    </w:p>
    <w:p w14:paraId="6498A847" w14:textId="77777777" w:rsidR="007C0578"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R</w:t>
      </w:r>
      <w:r w:rsidR="00F23626" w:rsidRPr="008B70E3">
        <w:rPr>
          <w:rFonts w:ascii="Times New Roman" w:hAnsi="Times New Roman"/>
          <w:sz w:val="24"/>
          <w:szCs w:val="24"/>
        </w:rPr>
        <w:t>ecipient</w:t>
      </w:r>
      <w:r w:rsidRPr="008B70E3">
        <w:rPr>
          <w:rFonts w:ascii="Times New Roman" w:hAnsi="Times New Roman"/>
          <w:sz w:val="24"/>
          <w:szCs w:val="24"/>
        </w:rPr>
        <w:t>s</w:t>
      </w:r>
    </w:p>
    <w:p w14:paraId="4F7C931E" w14:textId="77777777" w:rsidR="00F23626" w:rsidRPr="008B70E3" w:rsidRDefault="007C0578" w:rsidP="004804B3">
      <w:pPr>
        <w:pStyle w:val="ListParagraph"/>
        <w:numPr>
          <w:ilvl w:val="0"/>
          <w:numId w:val="11"/>
        </w:numPr>
        <w:rPr>
          <w:rFonts w:ascii="Times New Roman" w:hAnsi="Times New Roman"/>
          <w:sz w:val="24"/>
          <w:szCs w:val="24"/>
        </w:rPr>
      </w:pPr>
      <w:r w:rsidRPr="008B70E3">
        <w:rPr>
          <w:rFonts w:ascii="Times New Roman" w:hAnsi="Times New Roman"/>
          <w:sz w:val="24"/>
          <w:szCs w:val="24"/>
        </w:rPr>
        <w:t>P</w:t>
      </w:r>
      <w:r w:rsidR="00F23626" w:rsidRPr="008B70E3">
        <w:rPr>
          <w:rFonts w:ascii="Times New Roman" w:hAnsi="Times New Roman"/>
          <w:sz w:val="24"/>
          <w:szCs w:val="24"/>
        </w:rPr>
        <w:t>rogram goals</w:t>
      </w:r>
    </w:p>
    <w:p w14:paraId="7924D23E" w14:textId="2AA48452" w:rsidR="008B70E3" w:rsidRDefault="007C0578" w:rsidP="00435BB8">
      <w:pPr>
        <w:keepNext/>
        <w:rPr>
          <w:rFonts w:ascii="Times New Roman" w:hAnsi="Times New Roman"/>
          <w:b/>
          <w:sz w:val="24"/>
          <w:szCs w:val="24"/>
          <w:highlight w:val="yellow"/>
        </w:rPr>
      </w:pPr>
      <w:r w:rsidRPr="00A65CCB">
        <w:rPr>
          <w:rFonts w:ascii="Times New Roman" w:hAnsi="Times New Roman"/>
          <w:sz w:val="24"/>
          <w:szCs w:val="24"/>
        </w:rPr>
        <w:lastRenderedPageBreak/>
        <w:t xml:space="preserve">Per </w:t>
      </w:r>
      <w:r w:rsidR="002302D8">
        <w:rPr>
          <w:rFonts w:ascii="Times New Roman" w:hAnsi="Times New Roman"/>
          <w:sz w:val="24"/>
          <w:szCs w:val="24"/>
        </w:rPr>
        <w:t>18 V.S.A. § 9382</w:t>
      </w:r>
      <w:r w:rsidRPr="00A65CCB">
        <w:rPr>
          <w:rFonts w:ascii="Times New Roman" w:hAnsi="Times New Roman"/>
          <w:sz w:val="24"/>
          <w:szCs w:val="24"/>
        </w:rPr>
        <w:t>, population health program f</w:t>
      </w:r>
      <w:r w:rsidR="00A46A2D" w:rsidRPr="00A65CCB">
        <w:rPr>
          <w:rFonts w:ascii="Times New Roman" w:hAnsi="Times New Roman"/>
          <w:sz w:val="24"/>
          <w:szCs w:val="24"/>
        </w:rPr>
        <w:t>inancial in</w:t>
      </w:r>
      <w:r w:rsidR="00F4755F" w:rsidRPr="00A65CCB">
        <w:rPr>
          <w:rFonts w:ascii="Times New Roman" w:hAnsi="Times New Roman"/>
          <w:sz w:val="24"/>
          <w:szCs w:val="24"/>
        </w:rPr>
        <w:t>vestments</w:t>
      </w:r>
      <w:r w:rsidR="00FA33B6" w:rsidRPr="00A65CCB">
        <w:rPr>
          <w:rFonts w:ascii="Times New Roman" w:hAnsi="Times New Roman"/>
          <w:sz w:val="24"/>
          <w:szCs w:val="24"/>
        </w:rPr>
        <w:t xml:space="preserve"> should include</w:t>
      </w:r>
      <w:r w:rsidR="00F4755F" w:rsidRPr="00A65CCB">
        <w:rPr>
          <w:rFonts w:ascii="Times New Roman" w:hAnsi="Times New Roman"/>
          <w:sz w:val="24"/>
          <w:szCs w:val="24"/>
        </w:rPr>
        <w:t>:</w:t>
      </w:r>
    </w:p>
    <w:p w14:paraId="14A28764" w14:textId="77777777" w:rsidR="008B70E3" w:rsidRPr="008B70E3" w:rsidRDefault="00FA33B6" w:rsidP="004804B3">
      <w:pPr>
        <w:pStyle w:val="ListParagraph"/>
        <w:keepNext/>
        <w:numPr>
          <w:ilvl w:val="0"/>
          <w:numId w:val="12"/>
        </w:numPr>
        <w:rPr>
          <w:rFonts w:ascii="Times New Roman" w:hAnsi="Times New Roman"/>
          <w:b/>
          <w:sz w:val="24"/>
          <w:szCs w:val="24"/>
        </w:rPr>
      </w:pPr>
      <w:r w:rsidRPr="008B70E3">
        <w:rPr>
          <w:rFonts w:ascii="Times New Roman" w:hAnsi="Times New Roman"/>
          <w:sz w:val="24"/>
          <w:szCs w:val="24"/>
        </w:rPr>
        <w:t>S</w:t>
      </w:r>
      <w:r w:rsidR="00F4755F" w:rsidRPr="008B70E3">
        <w:rPr>
          <w:rFonts w:ascii="Times New Roman" w:hAnsi="Times New Roman"/>
          <w:sz w:val="24"/>
          <w:szCs w:val="24"/>
        </w:rPr>
        <w:t>trategies to bring primary care providers into the networ</w:t>
      </w:r>
      <w:r w:rsidR="00FD32FE" w:rsidRPr="008B70E3">
        <w:rPr>
          <w:rFonts w:ascii="Times New Roman" w:hAnsi="Times New Roman"/>
          <w:sz w:val="24"/>
          <w:szCs w:val="24"/>
        </w:rPr>
        <w:t>k</w:t>
      </w:r>
    </w:p>
    <w:p w14:paraId="3A30CC56" w14:textId="77777777" w:rsidR="008B70E3" w:rsidRPr="008B70E3" w:rsidRDefault="00FA33B6" w:rsidP="004804B3">
      <w:pPr>
        <w:pStyle w:val="ListParagraph"/>
        <w:keepNext/>
        <w:numPr>
          <w:ilvl w:val="0"/>
          <w:numId w:val="12"/>
        </w:numPr>
        <w:rPr>
          <w:rFonts w:ascii="Times New Roman" w:hAnsi="Times New Roman"/>
          <w:b/>
          <w:sz w:val="24"/>
          <w:szCs w:val="24"/>
        </w:rPr>
      </w:pPr>
      <w:r w:rsidRPr="008B70E3">
        <w:rPr>
          <w:rFonts w:ascii="Times New Roman" w:hAnsi="Times New Roman"/>
          <w:sz w:val="24"/>
          <w:szCs w:val="24"/>
        </w:rPr>
        <w:t>S</w:t>
      </w:r>
      <w:r w:rsidR="00F4755F" w:rsidRPr="008B70E3">
        <w:rPr>
          <w:rFonts w:ascii="Times New Roman" w:hAnsi="Times New Roman"/>
          <w:sz w:val="24"/>
          <w:szCs w:val="24"/>
        </w:rPr>
        <w:t>trategies for expanding capacity in existing primary care practices, including but not limited to reducing administrative burden on such practices</w:t>
      </w:r>
    </w:p>
    <w:p w14:paraId="7D1BE43E" w14:textId="77777777" w:rsidR="008B70E3" w:rsidRPr="008B70E3" w:rsidRDefault="006B01DD" w:rsidP="004804B3">
      <w:pPr>
        <w:pStyle w:val="ListParagraph"/>
        <w:keepNext/>
        <w:numPr>
          <w:ilvl w:val="0"/>
          <w:numId w:val="12"/>
        </w:numPr>
        <w:rPr>
          <w:rFonts w:ascii="Times New Roman" w:hAnsi="Times New Roman"/>
          <w:b/>
          <w:sz w:val="24"/>
          <w:szCs w:val="24"/>
        </w:rPr>
      </w:pPr>
      <w:r w:rsidRPr="008B70E3">
        <w:rPr>
          <w:rFonts w:ascii="Times New Roman" w:hAnsi="Times New Roman"/>
          <w:sz w:val="24"/>
          <w:szCs w:val="24"/>
        </w:rPr>
        <w:t xml:space="preserve">Integration </w:t>
      </w:r>
      <w:r w:rsidR="00FD32FE" w:rsidRPr="008B70E3">
        <w:rPr>
          <w:rFonts w:ascii="Times New Roman" w:hAnsi="Times New Roman"/>
          <w:sz w:val="24"/>
          <w:szCs w:val="24"/>
        </w:rPr>
        <w:t>of</w:t>
      </w:r>
      <w:r w:rsidR="00FA33B6" w:rsidRPr="008B70E3">
        <w:rPr>
          <w:rFonts w:ascii="Times New Roman" w:hAnsi="Times New Roman"/>
          <w:sz w:val="24"/>
          <w:szCs w:val="24"/>
        </w:rPr>
        <w:t xml:space="preserve"> community-based provider</w:t>
      </w:r>
      <w:r w:rsidRPr="008B70E3">
        <w:rPr>
          <w:rFonts w:ascii="Times New Roman" w:hAnsi="Times New Roman"/>
          <w:sz w:val="24"/>
          <w:szCs w:val="24"/>
        </w:rPr>
        <w:t>s</w:t>
      </w:r>
      <w:r w:rsidR="007C0578" w:rsidRPr="008B70E3">
        <w:rPr>
          <w:rFonts w:ascii="Times New Roman" w:hAnsi="Times New Roman"/>
          <w:sz w:val="24"/>
          <w:szCs w:val="24"/>
        </w:rPr>
        <w:t>, including expanding capacity to promote seamless coordination of care across the care continuum</w:t>
      </w:r>
    </w:p>
    <w:p w14:paraId="32101908" w14:textId="77777777" w:rsidR="008B70E3" w:rsidRPr="008B70E3" w:rsidRDefault="00FA33B6" w:rsidP="004804B3">
      <w:pPr>
        <w:pStyle w:val="ListParagraph"/>
        <w:keepNext/>
        <w:numPr>
          <w:ilvl w:val="0"/>
          <w:numId w:val="12"/>
        </w:numPr>
        <w:rPr>
          <w:rFonts w:ascii="Times New Roman" w:hAnsi="Times New Roman"/>
          <w:b/>
          <w:sz w:val="24"/>
          <w:szCs w:val="24"/>
        </w:rPr>
      </w:pPr>
      <w:r w:rsidRPr="008B70E3">
        <w:rPr>
          <w:rFonts w:ascii="Times New Roman" w:hAnsi="Times New Roman"/>
          <w:sz w:val="24"/>
          <w:szCs w:val="24"/>
        </w:rPr>
        <w:t xml:space="preserve">Population </w:t>
      </w:r>
      <w:r w:rsidR="00A46A2D" w:rsidRPr="008B70E3">
        <w:rPr>
          <w:rFonts w:ascii="Times New Roman" w:hAnsi="Times New Roman"/>
          <w:sz w:val="24"/>
          <w:szCs w:val="24"/>
        </w:rPr>
        <w:t>h</w:t>
      </w:r>
      <w:r w:rsidRPr="008B70E3">
        <w:rPr>
          <w:rFonts w:ascii="Times New Roman" w:hAnsi="Times New Roman"/>
          <w:sz w:val="24"/>
          <w:szCs w:val="24"/>
        </w:rPr>
        <w:t xml:space="preserve">ealth </w:t>
      </w:r>
      <w:r w:rsidR="00A46A2D" w:rsidRPr="008B70E3">
        <w:rPr>
          <w:rFonts w:ascii="Times New Roman" w:hAnsi="Times New Roman"/>
          <w:sz w:val="24"/>
          <w:szCs w:val="24"/>
        </w:rPr>
        <w:t>programs</w:t>
      </w:r>
      <w:r w:rsidRPr="008B70E3">
        <w:rPr>
          <w:rFonts w:ascii="Times New Roman" w:hAnsi="Times New Roman"/>
          <w:sz w:val="24"/>
          <w:szCs w:val="24"/>
        </w:rPr>
        <w:t>, including:</w:t>
      </w:r>
    </w:p>
    <w:p w14:paraId="2E9D2126" w14:textId="77777777" w:rsidR="008B70E3" w:rsidRPr="008B70E3" w:rsidRDefault="00FA33B6"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preventing hospital admissions or readmissions</w:t>
      </w:r>
    </w:p>
    <w:p w14:paraId="5D0D6F17" w14:textId="77777777" w:rsidR="008B70E3" w:rsidRPr="008B70E3" w:rsidRDefault="00FA33B6"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reducing length of hospital stays</w:t>
      </w:r>
    </w:p>
    <w:p w14:paraId="676BBFB6" w14:textId="49A77C6B" w:rsidR="008B70E3" w:rsidRPr="008B70E3" w:rsidRDefault="00FA33B6"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improving population health outcomes</w:t>
      </w:r>
      <w:r w:rsidR="007C0578" w:rsidRPr="008B70E3">
        <w:rPr>
          <w:rFonts w:ascii="Times New Roman" w:hAnsi="Times New Roman"/>
          <w:sz w:val="24"/>
          <w:szCs w:val="24"/>
        </w:rPr>
        <w:t>, with a focus on the All-Payer ACO Model measures</w:t>
      </w:r>
      <w:r w:rsidRPr="008B70E3">
        <w:rPr>
          <w:rFonts w:ascii="Times New Roman" w:hAnsi="Times New Roman"/>
          <w:sz w:val="24"/>
          <w:szCs w:val="24"/>
        </w:rPr>
        <w:t xml:space="preserve"> </w:t>
      </w:r>
      <w:r w:rsidR="007C0578" w:rsidRPr="008B70E3">
        <w:rPr>
          <w:rFonts w:ascii="Times New Roman" w:hAnsi="Times New Roman"/>
          <w:sz w:val="24"/>
          <w:szCs w:val="24"/>
        </w:rPr>
        <w:t>found in Appendix 5</w:t>
      </w:r>
      <w:r w:rsidR="005E3464">
        <w:rPr>
          <w:rFonts w:ascii="Times New Roman" w:hAnsi="Times New Roman"/>
          <w:sz w:val="24"/>
          <w:szCs w:val="24"/>
        </w:rPr>
        <w:t>.2 APM Quality Measures</w:t>
      </w:r>
    </w:p>
    <w:p w14:paraId="2BA69AB6" w14:textId="77777777" w:rsidR="008B70E3" w:rsidRPr="008B70E3" w:rsidRDefault="00FA33B6"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addressing social determinants of health</w:t>
      </w:r>
    </w:p>
    <w:p w14:paraId="3189F9AE" w14:textId="77777777" w:rsidR="008B70E3" w:rsidRPr="008B70E3" w:rsidRDefault="00B44E28"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addressing childhood experiences and trauma</w:t>
      </w:r>
    </w:p>
    <w:p w14:paraId="153C5F95" w14:textId="77777777" w:rsidR="008B70E3" w:rsidRPr="008B70E3" w:rsidRDefault="00FA33B6" w:rsidP="004804B3">
      <w:pPr>
        <w:pStyle w:val="ListParagraph"/>
        <w:keepNext/>
        <w:numPr>
          <w:ilvl w:val="1"/>
          <w:numId w:val="12"/>
        </w:numPr>
        <w:rPr>
          <w:rFonts w:ascii="Times New Roman" w:hAnsi="Times New Roman"/>
          <w:b/>
          <w:sz w:val="24"/>
          <w:szCs w:val="24"/>
        </w:rPr>
      </w:pPr>
      <w:r w:rsidRPr="008B70E3">
        <w:rPr>
          <w:rFonts w:ascii="Times New Roman" w:hAnsi="Times New Roman"/>
          <w:sz w:val="24"/>
          <w:szCs w:val="24"/>
        </w:rPr>
        <w:t>supporting and rewarding healthy lifestyle choices.</w:t>
      </w:r>
    </w:p>
    <w:p w14:paraId="482B82A9" w14:textId="77777777" w:rsidR="008B70E3" w:rsidRPr="008B70E3" w:rsidRDefault="008B70E3" w:rsidP="008B70E3">
      <w:pPr>
        <w:pStyle w:val="ListParagraph"/>
        <w:ind w:left="2160"/>
        <w:rPr>
          <w:rFonts w:ascii="Times New Roman" w:hAnsi="Times New Roman"/>
          <w:b/>
          <w:sz w:val="24"/>
          <w:szCs w:val="24"/>
        </w:rPr>
      </w:pPr>
    </w:p>
    <w:p w14:paraId="61CFCA48" w14:textId="0CD3E6B5" w:rsidR="000D7958" w:rsidRDefault="00130933" w:rsidP="004804B3">
      <w:pPr>
        <w:pStyle w:val="ListParagraph"/>
        <w:numPr>
          <w:ilvl w:val="0"/>
          <w:numId w:val="10"/>
        </w:numPr>
        <w:rPr>
          <w:rFonts w:ascii="Times New Roman" w:hAnsi="Times New Roman"/>
          <w:sz w:val="24"/>
          <w:szCs w:val="24"/>
        </w:rPr>
      </w:pPr>
      <w:r>
        <w:rPr>
          <w:rFonts w:ascii="Times New Roman" w:hAnsi="Times New Roman"/>
          <w:sz w:val="24"/>
          <w:szCs w:val="24"/>
        </w:rPr>
        <w:t>D</w:t>
      </w:r>
      <w:r w:rsidR="000D7958" w:rsidRPr="00C03B09">
        <w:rPr>
          <w:rFonts w:ascii="Times New Roman" w:hAnsi="Times New Roman"/>
          <w:sz w:val="24"/>
          <w:szCs w:val="24"/>
        </w:rPr>
        <w:t>escribe planned ACO investments in community-based provider capacity, efforts to include community-based providers in decision-making and policy development, and efforts to avoid duplication of resources.</w:t>
      </w:r>
    </w:p>
    <w:p w14:paraId="5F5F9804" w14:textId="77777777" w:rsidR="000D7958" w:rsidRPr="00C03B09" w:rsidRDefault="000D7958" w:rsidP="000D7958">
      <w:pPr>
        <w:pStyle w:val="ListParagraph"/>
        <w:rPr>
          <w:rFonts w:ascii="Times New Roman" w:hAnsi="Times New Roman"/>
          <w:sz w:val="24"/>
          <w:szCs w:val="24"/>
        </w:rPr>
      </w:pPr>
    </w:p>
    <w:p w14:paraId="48407BB0" w14:textId="52A0C5E6" w:rsidR="00962EB0" w:rsidRPr="00E86707" w:rsidRDefault="00472888" w:rsidP="004804B3">
      <w:pPr>
        <w:pStyle w:val="ListParagraph"/>
        <w:numPr>
          <w:ilvl w:val="0"/>
          <w:numId w:val="10"/>
        </w:numPr>
        <w:rPr>
          <w:rFonts w:ascii="Times New Roman" w:hAnsi="Times New Roman"/>
          <w:sz w:val="24"/>
          <w:szCs w:val="24"/>
        </w:rPr>
      </w:pPr>
      <w:r w:rsidRPr="00E86707">
        <w:rPr>
          <w:rFonts w:ascii="Times New Roman" w:hAnsi="Times New Roman"/>
          <w:sz w:val="24"/>
          <w:szCs w:val="24"/>
        </w:rPr>
        <w:t xml:space="preserve">Refer to </w:t>
      </w:r>
      <w:r w:rsidR="000D7958" w:rsidRPr="00E86707">
        <w:rPr>
          <w:rFonts w:ascii="Times New Roman" w:hAnsi="Times New Roman"/>
          <w:sz w:val="24"/>
          <w:szCs w:val="24"/>
        </w:rPr>
        <w:t xml:space="preserve">PART III: </w:t>
      </w:r>
      <w:r w:rsidR="00962EB0" w:rsidRPr="00E86707">
        <w:rPr>
          <w:rFonts w:ascii="Times New Roman" w:hAnsi="Times New Roman"/>
          <w:sz w:val="24"/>
          <w:szCs w:val="24"/>
        </w:rPr>
        <w:t xml:space="preserve">Primary Care Spend </w:t>
      </w:r>
      <w:r w:rsidRPr="00E86707">
        <w:rPr>
          <w:rFonts w:ascii="Times New Roman" w:hAnsi="Times New Roman"/>
          <w:sz w:val="24"/>
          <w:szCs w:val="24"/>
        </w:rPr>
        <w:t>Measurement and use the specifications provided to report on your proportion of primary care spent by payer for 2017, 2018, and 2019.</w:t>
      </w:r>
    </w:p>
    <w:p w14:paraId="2A1A05B5" w14:textId="77777777" w:rsidR="00C03B09" w:rsidRPr="00C03B09" w:rsidRDefault="00C03B09" w:rsidP="00C03B09">
      <w:pPr>
        <w:pStyle w:val="ListParagraph"/>
        <w:rPr>
          <w:rFonts w:ascii="Times New Roman" w:hAnsi="Times New Roman"/>
          <w:b/>
          <w:sz w:val="24"/>
          <w:szCs w:val="24"/>
        </w:rPr>
      </w:pPr>
    </w:p>
    <w:p w14:paraId="0AD31637" w14:textId="3A508DBB" w:rsidR="00205329" w:rsidRPr="00205329" w:rsidRDefault="00AF16B9" w:rsidP="00C03B09">
      <w:pPr>
        <w:pStyle w:val="Heading1"/>
        <w:jc w:val="center"/>
      </w:pPr>
      <w:bookmarkStart w:id="10" w:name="_Hlk515916657"/>
      <w:bookmarkStart w:id="11" w:name="_Hlk516238521"/>
      <w:r w:rsidRPr="00FA7C6A">
        <w:t>PART II. BUDGET GUIDANCE</w:t>
      </w:r>
    </w:p>
    <w:p w14:paraId="7DFC7B08" w14:textId="77777777" w:rsidR="00C03B09" w:rsidRDefault="00C03B09" w:rsidP="00074D15">
      <w:pPr>
        <w:rPr>
          <w:rFonts w:ascii="Times New Roman" w:hAnsi="Times New Roman"/>
          <w:sz w:val="24"/>
          <w:szCs w:val="24"/>
        </w:rPr>
      </w:pPr>
    </w:p>
    <w:p w14:paraId="4C6F77BB" w14:textId="7462FB58" w:rsidR="009D6F93" w:rsidRPr="00830FFD" w:rsidRDefault="00C31FEF" w:rsidP="00074D15">
      <w:r>
        <w:rPr>
          <w:rFonts w:ascii="Times New Roman" w:hAnsi="Times New Roman"/>
          <w:sz w:val="24"/>
          <w:szCs w:val="24"/>
        </w:rPr>
        <w:t>In deciding whether to approve or modify an ACO’s proposed budget, the Board will take into consideration the requirements of the Vermont All-Payer Accountable Care Organization Model Agreement (the Agreement)</w:t>
      </w:r>
      <w:r w:rsidR="001A06E2">
        <w:rPr>
          <w:rFonts w:ascii="Times New Roman" w:hAnsi="Times New Roman"/>
          <w:sz w:val="24"/>
          <w:szCs w:val="24"/>
        </w:rPr>
        <w:t xml:space="preserve">, including the </w:t>
      </w:r>
      <w:r>
        <w:rPr>
          <w:rFonts w:ascii="Times New Roman" w:hAnsi="Times New Roman"/>
          <w:sz w:val="24"/>
          <w:szCs w:val="24"/>
        </w:rPr>
        <w:t>All-payer Total Cost of Care per Ben</w:t>
      </w:r>
      <w:r w:rsidR="001260E9">
        <w:rPr>
          <w:rFonts w:ascii="Times New Roman" w:hAnsi="Times New Roman"/>
          <w:sz w:val="24"/>
          <w:szCs w:val="24"/>
        </w:rPr>
        <w:t xml:space="preserve">eficiary Growth </w:t>
      </w:r>
      <w:r w:rsidR="001A06E2">
        <w:rPr>
          <w:rFonts w:ascii="Times New Roman" w:hAnsi="Times New Roman"/>
          <w:sz w:val="24"/>
          <w:szCs w:val="24"/>
        </w:rPr>
        <w:t xml:space="preserve">Target, the Medicare Total Cost of Care per Beneficiary Growth Target, the ACO Scale Targets, and the Statewide Health Outcomes and Quality of Care Targets. </w:t>
      </w:r>
      <w:r w:rsidR="001A06E2" w:rsidRPr="001A06E2">
        <w:rPr>
          <w:rFonts w:ascii="Times New Roman" w:hAnsi="Times New Roman"/>
          <w:sz w:val="24"/>
          <w:szCs w:val="24"/>
        </w:rPr>
        <w:t xml:space="preserve">GMCB Rule 5.000, § 5.405(b), (c). </w:t>
      </w:r>
      <w:r w:rsidR="00830FFD">
        <w:rPr>
          <w:rFonts w:ascii="Times New Roman" w:hAnsi="Times New Roman"/>
          <w:sz w:val="24"/>
          <w:szCs w:val="24"/>
        </w:rPr>
        <w:t>As described in more detail below, t</w:t>
      </w:r>
      <w:r w:rsidR="001260E9">
        <w:rPr>
          <w:rFonts w:ascii="Times New Roman" w:hAnsi="Times New Roman"/>
          <w:sz w:val="24"/>
          <w:szCs w:val="24"/>
        </w:rPr>
        <w:t xml:space="preserve">he Agreement also </w:t>
      </w:r>
      <w:r w:rsidR="004F7BA3">
        <w:rPr>
          <w:rFonts w:ascii="Times New Roman" w:hAnsi="Times New Roman"/>
          <w:sz w:val="24"/>
          <w:szCs w:val="24"/>
        </w:rPr>
        <w:t>limits the Board’s</w:t>
      </w:r>
      <w:r w:rsidR="00830FFD">
        <w:rPr>
          <w:rFonts w:ascii="Times New Roman" w:hAnsi="Times New Roman"/>
          <w:sz w:val="24"/>
          <w:szCs w:val="24"/>
        </w:rPr>
        <w:t xml:space="preserve"> </w:t>
      </w:r>
      <w:r w:rsidR="004F7BA3">
        <w:rPr>
          <w:rFonts w:ascii="Times New Roman" w:hAnsi="Times New Roman"/>
          <w:sz w:val="24"/>
          <w:szCs w:val="24"/>
        </w:rPr>
        <w:t>discretion in prospectively</w:t>
      </w:r>
      <w:r w:rsidR="00830FFD">
        <w:rPr>
          <w:rFonts w:ascii="Times New Roman" w:hAnsi="Times New Roman"/>
          <w:sz w:val="24"/>
          <w:szCs w:val="24"/>
        </w:rPr>
        <w:t xml:space="preserve"> establish</w:t>
      </w:r>
      <w:r w:rsidR="004F7BA3">
        <w:rPr>
          <w:rFonts w:ascii="Times New Roman" w:hAnsi="Times New Roman"/>
          <w:sz w:val="24"/>
          <w:szCs w:val="24"/>
        </w:rPr>
        <w:t>ing</w:t>
      </w:r>
      <w:r w:rsidR="00830FFD">
        <w:rPr>
          <w:rFonts w:ascii="Times New Roman" w:hAnsi="Times New Roman"/>
          <w:sz w:val="24"/>
          <w:szCs w:val="24"/>
        </w:rPr>
        <w:t xml:space="preserve"> </w:t>
      </w:r>
      <w:r w:rsidR="001260E9">
        <w:rPr>
          <w:rFonts w:ascii="Times New Roman" w:hAnsi="Times New Roman"/>
          <w:sz w:val="24"/>
          <w:szCs w:val="24"/>
        </w:rPr>
        <w:t>benchmark</w:t>
      </w:r>
      <w:r w:rsidR="001D5350">
        <w:rPr>
          <w:rFonts w:ascii="Times New Roman" w:hAnsi="Times New Roman"/>
          <w:sz w:val="24"/>
          <w:szCs w:val="24"/>
        </w:rPr>
        <w:t>s</w:t>
      </w:r>
      <w:r w:rsidR="001260E9">
        <w:rPr>
          <w:rFonts w:ascii="Times New Roman" w:hAnsi="Times New Roman"/>
          <w:sz w:val="24"/>
          <w:szCs w:val="24"/>
        </w:rPr>
        <w:t xml:space="preserve"> for the Vermont Medicare ACO Initiative</w:t>
      </w:r>
      <w:r w:rsidR="00830FFD">
        <w:rPr>
          <w:rFonts w:ascii="Times New Roman" w:hAnsi="Times New Roman"/>
          <w:sz w:val="24"/>
          <w:szCs w:val="24"/>
        </w:rPr>
        <w:t xml:space="preserve"> (i.e., the financial target</w:t>
      </w:r>
      <w:r w:rsidR="001D5350">
        <w:rPr>
          <w:rFonts w:ascii="Times New Roman" w:hAnsi="Times New Roman"/>
          <w:sz w:val="24"/>
          <w:szCs w:val="24"/>
        </w:rPr>
        <w:t>s</w:t>
      </w:r>
      <w:r w:rsidR="00830FFD">
        <w:rPr>
          <w:rFonts w:ascii="Times New Roman" w:hAnsi="Times New Roman"/>
          <w:sz w:val="24"/>
          <w:szCs w:val="24"/>
        </w:rPr>
        <w:t xml:space="preserve"> against which expenditures for services furnished to ACO-aligned </w:t>
      </w:r>
      <w:r w:rsidR="004F7BA3">
        <w:rPr>
          <w:rFonts w:ascii="Times New Roman" w:hAnsi="Times New Roman"/>
          <w:sz w:val="24"/>
          <w:szCs w:val="24"/>
        </w:rPr>
        <w:t xml:space="preserve">Medicare </w:t>
      </w:r>
      <w:r w:rsidR="00830FFD">
        <w:rPr>
          <w:rFonts w:ascii="Times New Roman" w:hAnsi="Times New Roman"/>
          <w:sz w:val="24"/>
          <w:szCs w:val="24"/>
        </w:rPr>
        <w:t>beneficiaries will be assessed)</w:t>
      </w:r>
      <w:r w:rsidR="001260E9">
        <w:rPr>
          <w:rFonts w:ascii="Times New Roman" w:hAnsi="Times New Roman"/>
          <w:sz w:val="24"/>
          <w:szCs w:val="24"/>
        </w:rPr>
        <w:t xml:space="preserve">.  </w:t>
      </w:r>
      <w:r>
        <w:rPr>
          <w:rFonts w:ascii="Times New Roman" w:hAnsi="Times New Roman"/>
          <w:sz w:val="24"/>
          <w:szCs w:val="24"/>
        </w:rPr>
        <w:t xml:space="preserve">  </w:t>
      </w:r>
    </w:p>
    <w:bookmarkEnd w:id="7"/>
    <w:p w14:paraId="6CD5F729" w14:textId="54FECC33" w:rsidR="00B3508C" w:rsidRPr="00FA7C6A" w:rsidRDefault="00AF16B9" w:rsidP="00074D15">
      <w:pPr>
        <w:pStyle w:val="Heading2"/>
      </w:pPr>
      <w:r w:rsidRPr="00FA7C6A">
        <w:t xml:space="preserve">Section 1: </w:t>
      </w:r>
      <w:r w:rsidR="004F7BA3" w:rsidRPr="004F7BA3">
        <w:t xml:space="preserve">Growth Rate Ceiling </w:t>
      </w:r>
      <w:r w:rsidR="004F7BA3">
        <w:t xml:space="preserve">for the </w:t>
      </w:r>
      <w:r w:rsidR="001A06E2">
        <w:t xml:space="preserve">Vermont </w:t>
      </w:r>
      <w:r w:rsidR="00D10DD9">
        <w:t>Medicare</w:t>
      </w:r>
      <w:r w:rsidRPr="00FA7C6A">
        <w:t xml:space="preserve"> </w:t>
      </w:r>
      <w:r w:rsidR="001A06E2">
        <w:t>ACO Initiative Benchmark</w:t>
      </w:r>
      <w:r w:rsidR="004F7BA3">
        <w:t xml:space="preserve">s </w:t>
      </w:r>
    </w:p>
    <w:p w14:paraId="37BA21A5" w14:textId="705726A9" w:rsidR="00746CA3" w:rsidRDefault="00746CA3" w:rsidP="00746CA3">
      <w:pPr>
        <w:rPr>
          <w:rFonts w:ascii="Times New Roman" w:hAnsi="Times New Roman"/>
          <w:sz w:val="24"/>
          <w:szCs w:val="24"/>
        </w:rPr>
      </w:pPr>
      <w:bookmarkStart w:id="12" w:name="_Hlk515373876"/>
      <w:r>
        <w:rPr>
          <w:rFonts w:ascii="Times New Roman" w:hAnsi="Times New Roman"/>
          <w:sz w:val="24"/>
          <w:szCs w:val="24"/>
        </w:rPr>
        <w:t xml:space="preserve">Under the Agreement, the Centers for Medicare and Medicaid Services (CMS), in collaboration with the State of Vermont, will launch the Vermont Medicare ACO Initiative, which will begin on January 1, 2019. The Board will prospectively develop, in accordance with the requirements of the Agreement and </w:t>
      </w:r>
      <w:r>
        <w:rPr>
          <w:rFonts w:ascii="Times New Roman" w:hAnsi="Times New Roman"/>
          <w:sz w:val="24"/>
          <w:szCs w:val="24"/>
        </w:rPr>
        <w:lastRenderedPageBreak/>
        <w:t>subject to CMS approval, a benchmark for each ACO participating in the initiative.</w:t>
      </w:r>
      <w:r>
        <w:rPr>
          <w:rStyle w:val="FootnoteReference"/>
          <w:rFonts w:ascii="Times New Roman" w:hAnsi="Times New Roman"/>
          <w:sz w:val="24"/>
          <w:szCs w:val="24"/>
        </w:rPr>
        <w:footnoteReference w:id="2"/>
      </w:r>
      <w:r>
        <w:rPr>
          <w:rFonts w:ascii="Times New Roman" w:hAnsi="Times New Roman"/>
          <w:sz w:val="24"/>
          <w:szCs w:val="24"/>
        </w:rPr>
        <w:t xml:space="preserve"> To guide ACOs in developing their 2019 budgets, this section describes the growth rate ceiling for these benchmark</w:t>
      </w:r>
      <w:r w:rsidR="00830FFD">
        <w:rPr>
          <w:rFonts w:ascii="Times New Roman" w:hAnsi="Times New Roman"/>
          <w:sz w:val="24"/>
          <w:szCs w:val="24"/>
        </w:rPr>
        <w:t>s</w:t>
      </w:r>
      <w:r>
        <w:rPr>
          <w:rFonts w:ascii="Times New Roman" w:hAnsi="Times New Roman"/>
          <w:sz w:val="24"/>
          <w:szCs w:val="24"/>
        </w:rPr>
        <w:t xml:space="preserve">—the maximum rate of growth the Agreement will allow the Board to use in developing the benchmarks, as the Board understands it based on current data. The actual growth rate approved by the Board may be lower than described below and is subject to CMS approval.  </w:t>
      </w:r>
    </w:p>
    <w:p w14:paraId="0A6F2ACE" w14:textId="77777777" w:rsidR="00746CA3" w:rsidRDefault="00746CA3" w:rsidP="00746CA3">
      <w:pPr>
        <w:rPr>
          <w:rFonts w:ascii="Times New Roman" w:hAnsi="Times New Roman"/>
          <w:sz w:val="24"/>
          <w:szCs w:val="24"/>
        </w:rPr>
      </w:pPr>
      <w:r>
        <w:rPr>
          <w:rFonts w:ascii="Times New Roman" w:hAnsi="Times New Roman"/>
          <w:sz w:val="24"/>
          <w:szCs w:val="24"/>
        </w:rPr>
        <w:t xml:space="preserve">Under the terms of the Agreement, the Vermont Medicare ACO Initiative Benchmarks for 2019, Performance Year 2 of the Agreement, must be established so that either: </w:t>
      </w:r>
    </w:p>
    <w:p w14:paraId="65C9CA92" w14:textId="77777777" w:rsidR="00746CA3" w:rsidRDefault="00746CA3" w:rsidP="00746CA3">
      <w:pPr>
        <w:ind w:left="720"/>
        <w:rPr>
          <w:rFonts w:ascii="Times New Roman" w:hAnsi="Times New Roman"/>
          <w:sz w:val="24"/>
          <w:szCs w:val="24"/>
        </w:rPr>
      </w:pPr>
      <w:r>
        <w:rPr>
          <w:rFonts w:ascii="Times New Roman" w:hAnsi="Times New Roman"/>
          <w:sz w:val="24"/>
          <w:szCs w:val="24"/>
        </w:rPr>
        <w:t xml:space="preserve">1) the </w:t>
      </w:r>
      <w:r>
        <w:rPr>
          <w:rFonts w:ascii="Times New Roman" w:hAnsi="Times New Roman"/>
          <w:i/>
          <w:sz w:val="24"/>
          <w:szCs w:val="24"/>
        </w:rPr>
        <w:t xml:space="preserve">annual </w:t>
      </w:r>
      <w:r>
        <w:rPr>
          <w:rFonts w:ascii="Times New Roman" w:hAnsi="Times New Roman"/>
          <w:sz w:val="24"/>
          <w:szCs w:val="24"/>
        </w:rPr>
        <w:t xml:space="preserve">growth rate is at least 0.2 percentage points below the projected </w:t>
      </w:r>
      <w:r>
        <w:rPr>
          <w:rFonts w:ascii="Times New Roman" w:hAnsi="Times New Roman"/>
          <w:i/>
          <w:sz w:val="24"/>
          <w:szCs w:val="24"/>
        </w:rPr>
        <w:t xml:space="preserve">annual </w:t>
      </w:r>
      <w:r>
        <w:rPr>
          <w:rFonts w:ascii="Times New Roman" w:hAnsi="Times New Roman"/>
          <w:sz w:val="24"/>
          <w:szCs w:val="24"/>
        </w:rPr>
        <w:t>growth from 2018 to 2019 for Medicare nationally</w:t>
      </w:r>
      <w:r>
        <w:rPr>
          <w:rStyle w:val="FootnoteReference"/>
          <w:rFonts w:ascii="Times New Roman" w:hAnsi="Times New Roman"/>
          <w:sz w:val="24"/>
          <w:szCs w:val="24"/>
        </w:rPr>
        <w:footnoteReference w:id="3"/>
      </w:r>
      <w:r>
        <w:rPr>
          <w:rFonts w:ascii="Times New Roman" w:hAnsi="Times New Roman"/>
          <w:sz w:val="24"/>
          <w:szCs w:val="24"/>
        </w:rPr>
        <w:t>; or</w:t>
      </w:r>
    </w:p>
    <w:p w14:paraId="096D2F0D" w14:textId="77777777" w:rsidR="00746CA3" w:rsidRDefault="00746CA3" w:rsidP="00746CA3">
      <w:pPr>
        <w:ind w:left="720"/>
        <w:rPr>
          <w:rFonts w:ascii="Times New Roman" w:hAnsi="Times New Roman"/>
          <w:sz w:val="24"/>
          <w:szCs w:val="24"/>
        </w:rPr>
      </w:pPr>
      <w:r>
        <w:rPr>
          <w:rFonts w:ascii="Times New Roman" w:hAnsi="Times New Roman"/>
          <w:sz w:val="24"/>
          <w:szCs w:val="24"/>
        </w:rPr>
        <w:t xml:space="preserve">2) the </w:t>
      </w:r>
      <w:r>
        <w:rPr>
          <w:rFonts w:ascii="Times New Roman" w:hAnsi="Times New Roman"/>
          <w:i/>
          <w:sz w:val="24"/>
          <w:szCs w:val="24"/>
        </w:rPr>
        <w:t xml:space="preserve">compounded annualized </w:t>
      </w:r>
      <w:r>
        <w:rPr>
          <w:rFonts w:ascii="Times New Roman" w:hAnsi="Times New Roman"/>
          <w:sz w:val="24"/>
          <w:szCs w:val="24"/>
        </w:rPr>
        <w:t xml:space="preserve">growth rate is at least 0.1 percentage points below the projected </w:t>
      </w:r>
      <w:r>
        <w:rPr>
          <w:rFonts w:ascii="Times New Roman" w:hAnsi="Times New Roman"/>
          <w:i/>
          <w:sz w:val="24"/>
          <w:szCs w:val="24"/>
        </w:rPr>
        <w:t xml:space="preserve">compounded annualized </w:t>
      </w:r>
      <w:r>
        <w:rPr>
          <w:rFonts w:ascii="Times New Roman" w:hAnsi="Times New Roman"/>
          <w:sz w:val="24"/>
          <w:szCs w:val="24"/>
        </w:rPr>
        <w:t>growth rate (CAGR) from 2017 to 2019 for Medicare nationally.</w:t>
      </w:r>
    </w:p>
    <w:p w14:paraId="3CB2C603" w14:textId="572F92B6" w:rsidR="00746CA3" w:rsidRDefault="00746CA3" w:rsidP="00746CA3">
      <w:pPr>
        <w:rPr>
          <w:rFonts w:ascii="Times New Roman" w:hAnsi="Times New Roman"/>
          <w:sz w:val="24"/>
          <w:szCs w:val="24"/>
        </w:rPr>
      </w:pPr>
      <w:r>
        <w:rPr>
          <w:rFonts w:ascii="Times New Roman" w:hAnsi="Times New Roman"/>
          <w:sz w:val="24"/>
          <w:szCs w:val="24"/>
        </w:rPr>
        <w:t>National Medicare estimates are derived from the annual announcements of Medicare Advantage United States Per Capita Fee-For-Service Projections (“MA USPCC FFS Projections”).</w:t>
      </w:r>
      <w:r w:rsidR="007204D5">
        <w:rPr>
          <w:rFonts w:ascii="Times New Roman" w:hAnsi="Times New Roman"/>
          <w:sz w:val="24"/>
          <w:szCs w:val="24"/>
        </w:rPr>
        <w:t xml:space="preserve"> </w:t>
      </w:r>
      <w:r>
        <w:rPr>
          <w:rFonts w:ascii="Times New Roman" w:hAnsi="Times New Roman"/>
          <w:sz w:val="24"/>
          <w:szCs w:val="24"/>
        </w:rPr>
        <w:t>The projections</w:t>
      </w:r>
      <w:r>
        <w:rPr>
          <w:rStyle w:val="FootnoteReference"/>
          <w:rFonts w:ascii="Times New Roman" w:hAnsi="Times New Roman"/>
          <w:sz w:val="24"/>
          <w:szCs w:val="24"/>
        </w:rPr>
        <w:footnoteReference w:id="4"/>
      </w:r>
      <w:r>
        <w:rPr>
          <w:rFonts w:ascii="Times New Roman" w:hAnsi="Times New Roman"/>
          <w:sz w:val="24"/>
          <w:szCs w:val="24"/>
        </w:rPr>
        <w:t xml:space="preserve"> for Performance Year 2 were:</w:t>
      </w:r>
    </w:p>
    <w:tbl>
      <w:tblPr>
        <w:tblStyle w:val="GridTable2"/>
        <w:tblW w:w="0" w:type="auto"/>
        <w:tblInd w:w="0" w:type="dxa"/>
        <w:tblLook w:val="04A0" w:firstRow="1" w:lastRow="0" w:firstColumn="1" w:lastColumn="0" w:noHBand="0" w:noVBand="1"/>
      </w:tblPr>
      <w:tblGrid>
        <w:gridCol w:w="3226"/>
        <w:gridCol w:w="1797"/>
        <w:gridCol w:w="1707"/>
        <w:gridCol w:w="1640"/>
      </w:tblGrid>
      <w:tr w:rsidR="007204D5" w14:paraId="509A2733" w14:textId="166B926A" w:rsidTr="0072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Borders>
              <w:left w:val="nil"/>
              <w:bottom w:val="nil"/>
            </w:tcBorders>
          </w:tcPr>
          <w:p w14:paraId="3F6D73E2" w14:textId="77777777" w:rsidR="007204D5" w:rsidRDefault="007204D5">
            <w:pPr>
              <w:jc w:val="right"/>
              <w:rPr>
                <w:rFonts w:ascii="Times New Roman" w:hAnsi="Times New Roman"/>
                <w:sz w:val="24"/>
                <w:szCs w:val="24"/>
              </w:rPr>
            </w:pPr>
          </w:p>
        </w:tc>
        <w:tc>
          <w:tcPr>
            <w:tcW w:w="3504" w:type="dxa"/>
            <w:gridSpan w:val="2"/>
            <w:tcBorders>
              <w:bottom w:val="nil"/>
            </w:tcBorders>
            <w:hideMark/>
          </w:tcPr>
          <w:p w14:paraId="65037486" w14:textId="77777777" w:rsidR="007204D5" w:rsidRDefault="007204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sz w:val="24"/>
                <w:szCs w:val="24"/>
              </w:rPr>
              <w:t>Calendar Year</w:t>
            </w:r>
          </w:p>
        </w:tc>
        <w:tc>
          <w:tcPr>
            <w:tcW w:w="1640" w:type="dxa"/>
            <w:tcBorders>
              <w:bottom w:val="nil"/>
              <w:right w:val="nil"/>
            </w:tcBorders>
          </w:tcPr>
          <w:p w14:paraId="37DCA814" w14:textId="45D28B7C" w:rsidR="007204D5" w:rsidRDefault="007204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Rate</w:t>
            </w:r>
          </w:p>
        </w:tc>
      </w:tr>
      <w:tr w:rsidR="007204D5" w14:paraId="1C192220" w14:textId="2728CA41" w:rsidTr="0072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Borders>
              <w:top w:val="nil"/>
              <w:left w:val="nil"/>
              <w:bottom w:val="single" w:sz="4" w:space="0" w:color="auto"/>
              <w:right w:val="nil"/>
            </w:tcBorders>
            <w:hideMark/>
          </w:tcPr>
          <w:p w14:paraId="44DEA64B" w14:textId="77777777" w:rsidR="007204D5" w:rsidRDefault="007204D5">
            <w:pPr>
              <w:jc w:val="right"/>
              <w:rPr>
                <w:rFonts w:ascii="Times New Roman" w:hAnsi="Times New Roman"/>
                <w:b w:val="0"/>
                <w:sz w:val="24"/>
                <w:szCs w:val="24"/>
              </w:rPr>
            </w:pPr>
            <w:r>
              <w:rPr>
                <w:rFonts w:ascii="Times New Roman" w:hAnsi="Times New Roman"/>
                <w:sz w:val="24"/>
                <w:szCs w:val="24"/>
              </w:rPr>
              <w:t>Population</w:t>
            </w:r>
          </w:p>
        </w:tc>
        <w:tc>
          <w:tcPr>
            <w:tcW w:w="1797" w:type="dxa"/>
            <w:tcBorders>
              <w:top w:val="nil"/>
              <w:left w:val="nil"/>
              <w:bottom w:val="single" w:sz="4" w:space="0" w:color="auto"/>
              <w:right w:val="nil"/>
            </w:tcBorders>
            <w:hideMark/>
          </w:tcPr>
          <w:p w14:paraId="2C9E7220" w14:textId="77777777"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2018</w:t>
            </w:r>
          </w:p>
        </w:tc>
        <w:tc>
          <w:tcPr>
            <w:tcW w:w="1707" w:type="dxa"/>
            <w:tcBorders>
              <w:top w:val="nil"/>
              <w:left w:val="nil"/>
              <w:bottom w:val="single" w:sz="4" w:space="0" w:color="auto"/>
              <w:right w:val="nil"/>
            </w:tcBorders>
            <w:hideMark/>
          </w:tcPr>
          <w:p w14:paraId="558CF829" w14:textId="77777777"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2019</w:t>
            </w:r>
          </w:p>
        </w:tc>
        <w:tc>
          <w:tcPr>
            <w:tcW w:w="1640" w:type="dxa"/>
            <w:tcBorders>
              <w:top w:val="nil"/>
              <w:left w:val="nil"/>
              <w:bottom w:val="single" w:sz="4" w:space="0" w:color="auto"/>
              <w:right w:val="nil"/>
            </w:tcBorders>
          </w:tcPr>
          <w:p w14:paraId="62E3E1EC" w14:textId="77777777"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204D5" w14:paraId="6DF56244" w14:textId="5B5F116B" w:rsidTr="007204D5">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nil"/>
              <w:bottom w:val="nil"/>
              <w:right w:val="nil"/>
            </w:tcBorders>
            <w:hideMark/>
          </w:tcPr>
          <w:p w14:paraId="0B3EE851" w14:textId="77777777" w:rsidR="007204D5" w:rsidRDefault="007204D5">
            <w:pPr>
              <w:jc w:val="right"/>
              <w:rPr>
                <w:rFonts w:ascii="Times New Roman" w:hAnsi="Times New Roman"/>
                <w:b w:val="0"/>
                <w:sz w:val="24"/>
                <w:szCs w:val="24"/>
              </w:rPr>
            </w:pPr>
            <w:r>
              <w:rPr>
                <w:rFonts w:ascii="Times New Roman" w:hAnsi="Times New Roman"/>
                <w:sz w:val="24"/>
                <w:szCs w:val="24"/>
              </w:rPr>
              <w:t>Aged and Disabled</w:t>
            </w:r>
          </w:p>
        </w:tc>
        <w:tc>
          <w:tcPr>
            <w:tcW w:w="1797" w:type="dxa"/>
            <w:tcBorders>
              <w:top w:val="single" w:sz="4" w:space="0" w:color="auto"/>
              <w:left w:val="nil"/>
              <w:bottom w:val="nil"/>
              <w:right w:val="nil"/>
            </w:tcBorders>
            <w:hideMark/>
          </w:tcPr>
          <w:p w14:paraId="076311DE" w14:textId="77777777"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$856.41</w:t>
            </w:r>
          </w:p>
        </w:tc>
        <w:tc>
          <w:tcPr>
            <w:tcW w:w="1707" w:type="dxa"/>
            <w:tcBorders>
              <w:top w:val="single" w:sz="4" w:space="0" w:color="auto"/>
              <w:left w:val="nil"/>
              <w:bottom w:val="nil"/>
              <w:right w:val="nil"/>
            </w:tcBorders>
            <w:hideMark/>
          </w:tcPr>
          <w:p w14:paraId="7EB12C17" w14:textId="77777777"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$891.07</w:t>
            </w:r>
          </w:p>
        </w:tc>
        <w:tc>
          <w:tcPr>
            <w:tcW w:w="1640" w:type="dxa"/>
            <w:tcBorders>
              <w:top w:val="single" w:sz="4" w:space="0" w:color="auto"/>
              <w:left w:val="nil"/>
              <w:bottom w:val="nil"/>
              <w:right w:val="nil"/>
            </w:tcBorders>
          </w:tcPr>
          <w:p w14:paraId="692C2B48" w14:textId="16AF28E4"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p>
        </w:tc>
      </w:tr>
      <w:tr w:rsidR="007204D5" w14:paraId="591ABBE5" w14:textId="5E855B32" w:rsidTr="0072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Borders>
              <w:top w:val="nil"/>
              <w:left w:val="nil"/>
              <w:bottom w:val="nil"/>
              <w:right w:val="nil"/>
            </w:tcBorders>
            <w:hideMark/>
          </w:tcPr>
          <w:p w14:paraId="79C7CAE7" w14:textId="77777777" w:rsidR="007204D5" w:rsidRDefault="007204D5">
            <w:pPr>
              <w:jc w:val="right"/>
              <w:rPr>
                <w:rFonts w:ascii="Times New Roman" w:hAnsi="Times New Roman"/>
                <w:b w:val="0"/>
                <w:sz w:val="24"/>
                <w:szCs w:val="24"/>
              </w:rPr>
            </w:pPr>
            <w:r>
              <w:rPr>
                <w:rFonts w:ascii="Times New Roman" w:hAnsi="Times New Roman"/>
                <w:sz w:val="24"/>
                <w:szCs w:val="24"/>
              </w:rPr>
              <w:t>End Stage Renal Disease</w:t>
            </w:r>
          </w:p>
        </w:tc>
        <w:tc>
          <w:tcPr>
            <w:tcW w:w="1797" w:type="dxa"/>
            <w:tcBorders>
              <w:top w:val="nil"/>
              <w:left w:val="nil"/>
              <w:bottom w:val="nil"/>
              <w:right w:val="nil"/>
            </w:tcBorders>
            <w:hideMark/>
          </w:tcPr>
          <w:p w14:paraId="00BFF808" w14:textId="77777777"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$7,586.28</w:t>
            </w:r>
          </w:p>
        </w:tc>
        <w:tc>
          <w:tcPr>
            <w:tcW w:w="1707" w:type="dxa"/>
            <w:tcBorders>
              <w:top w:val="nil"/>
              <w:left w:val="nil"/>
              <w:bottom w:val="nil"/>
              <w:right w:val="nil"/>
            </w:tcBorders>
            <w:hideMark/>
          </w:tcPr>
          <w:p w14:paraId="5F9B04F9" w14:textId="77777777"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$7,833.28</w:t>
            </w:r>
          </w:p>
        </w:tc>
        <w:tc>
          <w:tcPr>
            <w:tcW w:w="1640" w:type="dxa"/>
            <w:tcBorders>
              <w:top w:val="nil"/>
              <w:left w:val="nil"/>
              <w:bottom w:val="nil"/>
              <w:right w:val="nil"/>
            </w:tcBorders>
          </w:tcPr>
          <w:p w14:paraId="3D087889" w14:textId="276127E2" w:rsidR="007204D5" w:rsidRDefault="007204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3.3%</w:t>
            </w:r>
          </w:p>
        </w:tc>
      </w:tr>
      <w:tr w:rsidR="007204D5" w14:paraId="570B3C64" w14:textId="090504C7" w:rsidTr="007204D5">
        <w:tc>
          <w:tcPr>
            <w:cnfStyle w:val="001000000000" w:firstRow="0" w:lastRow="0" w:firstColumn="1" w:lastColumn="0" w:oddVBand="0" w:evenVBand="0" w:oddHBand="0" w:evenHBand="0" w:firstRowFirstColumn="0" w:firstRowLastColumn="0" w:lastRowFirstColumn="0" w:lastRowLastColumn="0"/>
            <w:tcW w:w="3226" w:type="dxa"/>
            <w:tcBorders>
              <w:top w:val="nil"/>
              <w:left w:val="nil"/>
              <w:bottom w:val="nil"/>
              <w:right w:val="nil"/>
            </w:tcBorders>
            <w:hideMark/>
          </w:tcPr>
          <w:p w14:paraId="71A713A9" w14:textId="77777777" w:rsidR="007204D5" w:rsidRDefault="007204D5">
            <w:pPr>
              <w:jc w:val="right"/>
              <w:rPr>
                <w:rFonts w:ascii="Times New Roman" w:hAnsi="Times New Roman"/>
                <w:b w:val="0"/>
                <w:sz w:val="24"/>
                <w:szCs w:val="24"/>
              </w:rPr>
            </w:pPr>
            <w:r>
              <w:rPr>
                <w:rFonts w:ascii="Times New Roman" w:hAnsi="Times New Roman"/>
                <w:b w:val="0"/>
                <w:sz w:val="24"/>
                <w:szCs w:val="24"/>
              </w:rPr>
              <w:t>Blended</w:t>
            </w:r>
            <w:r>
              <w:rPr>
                <w:rStyle w:val="FootnoteReference"/>
                <w:rFonts w:ascii="Times New Roman" w:hAnsi="Times New Roman"/>
                <w:b w:val="0"/>
                <w:sz w:val="24"/>
                <w:szCs w:val="24"/>
              </w:rPr>
              <w:footnoteReference w:id="5"/>
            </w:r>
            <w:r>
              <w:rPr>
                <w:rFonts w:ascii="Times New Roman" w:hAnsi="Times New Roman"/>
                <w:b w:val="0"/>
                <w:sz w:val="24"/>
                <w:szCs w:val="24"/>
              </w:rPr>
              <w:t xml:space="preserve"> </w:t>
            </w:r>
          </w:p>
        </w:tc>
        <w:tc>
          <w:tcPr>
            <w:tcW w:w="1797" w:type="dxa"/>
            <w:tcBorders>
              <w:top w:val="nil"/>
              <w:left w:val="nil"/>
              <w:bottom w:val="nil"/>
              <w:right w:val="nil"/>
            </w:tcBorders>
            <w:hideMark/>
          </w:tcPr>
          <w:p w14:paraId="31AA2192" w14:textId="77777777"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$880.64</w:t>
            </w:r>
          </w:p>
        </w:tc>
        <w:tc>
          <w:tcPr>
            <w:tcW w:w="1707" w:type="dxa"/>
            <w:tcBorders>
              <w:top w:val="nil"/>
              <w:left w:val="nil"/>
              <w:bottom w:val="nil"/>
              <w:right w:val="nil"/>
            </w:tcBorders>
            <w:hideMark/>
          </w:tcPr>
          <w:p w14:paraId="66D6BC86" w14:textId="77777777"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$916.06</w:t>
            </w:r>
          </w:p>
        </w:tc>
        <w:tc>
          <w:tcPr>
            <w:tcW w:w="1640" w:type="dxa"/>
            <w:tcBorders>
              <w:top w:val="nil"/>
              <w:left w:val="nil"/>
              <w:bottom w:val="nil"/>
              <w:right w:val="nil"/>
            </w:tcBorders>
          </w:tcPr>
          <w:p w14:paraId="2094F414" w14:textId="4B0B038E" w:rsidR="007204D5" w:rsidRDefault="007204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See calc.</w:t>
            </w:r>
          </w:p>
        </w:tc>
      </w:tr>
    </w:tbl>
    <w:p w14:paraId="619D6DF4" w14:textId="7924BF45" w:rsidR="00746CA3" w:rsidRDefault="00746CA3" w:rsidP="00746CA3">
      <w:pPr>
        <w:rPr>
          <w:sz w:val="24"/>
          <w:szCs w:val="24"/>
        </w:rPr>
      </w:pPr>
    </w:p>
    <w:p w14:paraId="6D21074C" w14:textId="761D6AF7" w:rsidR="00746CA3" w:rsidRDefault="00746CA3" w:rsidP="00746CA3">
      <w:pPr>
        <w:rPr>
          <w:rFonts w:ascii="Times New Roman" w:hAnsi="Times New Roman"/>
          <w:sz w:val="24"/>
          <w:szCs w:val="24"/>
        </w:rPr>
      </w:pPr>
      <m:oMath>
        <m:r>
          <w:rPr>
            <w:rFonts w:ascii="Cambria Math" w:hAnsi="Cambria Math"/>
            <w:sz w:val="24"/>
            <w:szCs w:val="24"/>
          </w:rPr>
          <m:t>2019 Annual Projected National Medicare TCOC per Beneficiary Growth=</m:t>
        </m:r>
        <m:f>
          <m:fPr>
            <m:ctrlPr>
              <w:rPr>
                <w:rFonts w:ascii="Cambria Math" w:hAnsi="Cambria Math"/>
                <w:i/>
                <w:sz w:val="24"/>
                <w:szCs w:val="24"/>
              </w:rPr>
            </m:ctrlPr>
          </m:fPr>
          <m:num>
            <m:r>
              <w:rPr>
                <w:rFonts w:ascii="Cambria Math" w:hAnsi="Cambria Math"/>
                <w:sz w:val="24"/>
                <w:szCs w:val="24"/>
              </w:rPr>
              <m:t>$916.06</m:t>
            </m:r>
          </m:num>
          <m:den>
            <m:r>
              <w:rPr>
                <w:rFonts w:ascii="Cambria Math" w:hAnsi="Cambria Math"/>
                <w:sz w:val="24"/>
                <w:szCs w:val="24"/>
              </w:rPr>
              <m:t>$880.64</m:t>
            </m:r>
          </m:den>
        </m:f>
        <m:r>
          <w:rPr>
            <w:rFonts w:ascii="Cambria Math" w:hAnsi="Cambria Math"/>
            <w:sz w:val="24"/>
            <w:szCs w:val="24"/>
          </w:rPr>
          <m:t>-1=4.0%</m:t>
        </m:r>
      </m:oMath>
      <w:r>
        <w:rPr>
          <w:rFonts w:ascii="Times New Roman" w:hAnsi="Times New Roman"/>
          <w:sz w:val="24"/>
          <w:szCs w:val="24"/>
        </w:rPr>
        <w:t xml:space="preserve"> </w:t>
      </w:r>
    </w:p>
    <w:p w14:paraId="2721D6D6" w14:textId="77777777" w:rsidR="00746CA3" w:rsidRDefault="00746CA3" w:rsidP="00746CA3">
      <w:pPr>
        <w:rPr>
          <w:rFonts w:ascii="Times New Roman" w:hAnsi="Times New Roman"/>
          <w:sz w:val="24"/>
          <w:szCs w:val="24"/>
        </w:rPr>
      </w:pPr>
      <m:oMathPara>
        <m:oMathParaPr>
          <m:jc m:val="left"/>
        </m:oMathParaPr>
        <m:oMath>
          <m:r>
            <w:rPr>
              <w:rFonts w:ascii="Cambria Math" w:hAnsi="Cambria Math"/>
              <w:sz w:val="24"/>
              <w:szCs w:val="24"/>
            </w:rPr>
            <m:t xml:space="preserve">2019 CAGR=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1.037*1.040</m:t>
                  </m:r>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-1=3.8%</m:t>
          </m:r>
        </m:oMath>
      </m:oMathPara>
    </w:p>
    <w:p w14:paraId="6745779D" w14:textId="7A1D63FD" w:rsidR="00746CA3" w:rsidRDefault="00746CA3" w:rsidP="00E02957">
      <w:pPr>
        <w:rPr>
          <w:rFonts w:ascii="Times New Roman" w:hAnsi="Times New Roman"/>
          <w:b/>
          <w:sz w:val="24"/>
          <w:szCs w:val="24"/>
        </w:rPr>
      </w:pPr>
      <w:r>
        <w:rPr>
          <w:rFonts w:ascii="Times New Roman" w:hAnsi="Times New Roman"/>
          <w:b/>
          <w:sz w:val="24"/>
          <w:szCs w:val="24"/>
        </w:rPr>
        <w:t>Thus, as the Board currently understands it, the Agreement requires the Board to use a growth rate of no more than 3.8% (using the annual growth rate) or 3.7% (using the CAGR) when developing the Vermont Medicare ACO Initiative Benchmark</w:t>
      </w:r>
      <w:r w:rsidR="00830FFD">
        <w:rPr>
          <w:rFonts w:ascii="Times New Roman" w:hAnsi="Times New Roman"/>
          <w:b/>
          <w:sz w:val="24"/>
          <w:szCs w:val="24"/>
        </w:rPr>
        <w:t>s</w:t>
      </w:r>
      <w:r>
        <w:rPr>
          <w:rFonts w:ascii="Times New Roman" w:hAnsi="Times New Roman"/>
          <w:b/>
          <w:sz w:val="24"/>
          <w:szCs w:val="24"/>
        </w:rPr>
        <w:t xml:space="preserve"> for 2019.</w:t>
      </w:r>
      <w:bookmarkEnd w:id="10"/>
    </w:p>
    <w:bookmarkEnd w:id="11"/>
    <w:p w14:paraId="5491D74C" w14:textId="0FB21ACD" w:rsidR="00844735" w:rsidRDefault="00844735">
      <w:pPr>
        <w:rPr>
          <w:rFonts w:ascii="Times New Roman" w:hAnsi="Times New Roman"/>
          <w:b/>
          <w:sz w:val="24"/>
          <w:szCs w:val="24"/>
        </w:rPr>
      </w:pPr>
      <w:r>
        <w:rPr>
          <w:rFonts w:ascii="Times New Roman" w:hAnsi="Times New Roman"/>
          <w:b/>
          <w:sz w:val="24"/>
          <w:szCs w:val="24"/>
        </w:rPr>
        <w:br w:type="page"/>
      </w:r>
    </w:p>
    <w:p w14:paraId="149803DE" w14:textId="37105953" w:rsidR="00844735" w:rsidRPr="00051598" w:rsidRDefault="00844735" w:rsidP="00844735">
      <w:pPr>
        <w:pStyle w:val="Heading1"/>
        <w:jc w:val="center"/>
      </w:pPr>
      <w:r>
        <w:lastRenderedPageBreak/>
        <w:t xml:space="preserve">Part III. </w:t>
      </w:r>
      <w:r w:rsidRPr="00051598">
        <w:t>ACO Primary Care Spend Measurement</w:t>
      </w:r>
    </w:p>
    <w:p w14:paraId="26D92707" w14:textId="77777777" w:rsidR="00844735" w:rsidRPr="00F13690" w:rsidRDefault="00844735" w:rsidP="00844735">
      <w:pPr>
        <w:jc w:val="center"/>
        <w:rPr>
          <w:b/>
          <w:sz w:val="24"/>
          <w:szCs w:val="24"/>
        </w:rPr>
      </w:pPr>
      <w:bookmarkStart w:id="13" w:name="_Hlk514404656"/>
    </w:p>
    <w:bookmarkEnd w:id="13"/>
    <w:p w14:paraId="1348051C" w14:textId="77777777" w:rsidR="004804B3" w:rsidRPr="004804B3" w:rsidRDefault="004804B3" w:rsidP="004804B3">
      <w:pPr>
        <w:autoSpaceDE w:val="0"/>
        <w:autoSpaceDN w:val="0"/>
        <w:adjustRightInd w:val="0"/>
        <w:spacing w:line="240" w:lineRule="auto"/>
        <w:rPr>
          <w:rFonts w:ascii="Times New Roman" w:hAnsi="Times New Roman"/>
          <w:sz w:val="24"/>
          <w:szCs w:val="24"/>
        </w:rPr>
      </w:pPr>
      <w:proofErr w:type="gramStart"/>
      <w:r w:rsidRPr="004804B3">
        <w:rPr>
          <w:rFonts w:ascii="Times New Roman" w:hAnsi="Times New Roman"/>
          <w:sz w:val="24"/>
          <w:szCs w:val="24"/>
        </w:rPr>
        <w:t>In an effort to</w:t>
      </w:r>
      <w:proofErr w:type="gramEnd"/>
      <w:r w:rsidRPr="004804B3">
        <w:rPr>
          <w:rFonts w:ascii="Times New Roman" w:hAnsi="Times New Roman"/>
          <w:sz w:val="24"/>
          <w:szCs w:val="24"/>
        </w:rPr>
        <w:t xml:space="preserve"> best capture current spending on both an ACO and Statewide basis, the GMCB, along with stakeholders, has developed a metric to measure primary care spending. Over time, this metric could be used to assess ACO investments in primary care. Per Rule 5.000, “[t]he ACO must submit: information on the extent to which the ACO provides incentives for systemic health care investments to strengthen primary care, including strategies for recruiting additional primary care providers, providing resources to expand capacity in existing primary care practices, and reducing the administrative burden of reporting requirements for providers while balancing the need to have sufficient measures to evaluate adequately the quality of and access to care…” (5.403 (a)(17)).  </w:t>
      </w:r>
    </w:p>
    <w:p w14:paraId="4CF8B4B3" w14:textId="77777777" w:rsidR="004804B3" w:rsidRPr="004804B3" w:rsidRDefault="004804B3" w:rsidP="004804B3">
      <w:pPr>
        <w:spacing w:before="240"/>
        <w:rPr>
          <w:rFonts w:ascii="Times New Roman" w:hAnsi="Times New Roman"/>
          <w:sz w:val="24"/>
        </w:rPr>
      </w:pPr>
      <w:r w:rsidRPr="004804B3">
        <w:rPr>
          <w:rFonts w:ascii="Times New Roman" w:hAnsi="Times New Roman"/>
          <w:sz w:val="24"/>
        </w:rPr>
        <w:t xml:space="preserve">To calculate the annual (calendar year) percentage of total medical spending on primary care for ACO-attributed lives, the sum of ACO claims-based and ACO non-claims-based payments to primary care providers is divided by the sum of total ACO claims-based and ACO non-claims-based payments to all providers. </w:t>
      </w:r>
    </w:p>
    <w:p w14:paraId="3FB377E8" w14:textId="77777777" w:rsidR="00844735" w:rsidRDefault="00844735" w:rsidP="004804B3">
      <w:pPr>
        <w:spacing w:before="240"/>
        <w:jc w:val="center"/>
        <w:rPr>
          <w:sz w:val="24"/>
        </w:rPr>
      </w:pPr>
      <w:r w:rsidRPr="00EF05F2">
        <w:rPr>
          <w:noProof/>
        </w:rPr>
        <w:drawing>
          <wp:inline distT="0" distB="0" distL="0" distR="0" wp14:anchorId="6F8D0AF5" wp14:editId="10EA517E">
            <wp:extent cx="5943600" cy="2108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08835"/>
                    </a:xfrm>
                    <a:prstGeom prst="rect">
                      <a:avLst/>
                    </a:prstGeom>
                  </pic:spPr>
                </pic:pic>
              </a:graphicData>
            </a:graphic>
          </wp:inline>
        </w:drawing>
      </w:r>
    </w:p>
    <w:p w14:paraId="3B502BAD" w14:textId="77777777" w:rsidR="004804B3" w:rsidRPr="004804B3" w:rsidRDefault="004804B3" w:rsidP="004804B3">
      <w:pPr>
        <w:spacing w:before="240"/>
        <w:rPr>
          <w:rFonts w:ascii="Times New Roman" w:hAnsi="Times New Roman"/>
          <w:sz w:val="24"/>
          <w:szCs w:val="24"/>
        </w:rPr>
      </w:pPr>
      <w:r w:rsidRPr="004804B3">
        <w:rPr>
          <w:rFonts w:ascii="Times New Roman" w:hAnsi="Times New Roman"/>
          <w:b/>
          <w:sz w:val="24"/>
          <w:szCs w:val="24"/>
        </w:rPr>
        <w:t>Frequency:</w:t>
      </w:r>
      <w:r w:rsidRPr="004804B3">
        <w:rPr>
          <w:rFonts w:ascii="Times New Roman" w:hAnsi="Times New Roman"/>
          <w:sz w:val="24"/>
          <w:szCs w:val="24"/>
        </w:rPr>
        <w:t xml:space="preserve"> For this test year submission, the GMCB is requesting the ACO to submit information for CY 2017 actuals, CY 2018 projected and CY 2019 budget. Moving forward, this measure will be collected annually through the ACO budget process and on an ad hoc basis as requested for monitoring purposes. </w:t>
      </w:r>
    </w:p>
    <w:p w14:paraId="0DA8610B" w14:textId="77777777" w:rsidR="004804B3" w:rsidRPr="004804B3" w:rsidRDefault="004804B3" w:rsidP="004804B3">
      <w:pPr>
        <w:rPr>
          <w:rFonts w:ascii="Times New Roman" w:hAnsi="Times New Roman"/>
          <w:sz w:val="24"/>
          <w:szCs w:val="24"/>
        </w:rPr>
      </w:pPr>
      <w:r w:rsidRPr="004804B3">
        <w:rPr>
          <w:rFonts w:ascii="Times New Roman" w:hAnsi="Times New Roman"/>
          <w:b/>
          <w:sz w:val="24"/>
          <w:szCs w:val="24"/>
        </w:rPr>
        <w:t>Calculation:</w:t>
      </w:r>
      <w:r w:rsidRPr="004804B3">
        <w:rPr>
          <w:rFonts w:ascii="Times New Roman" w:hAnsi="Times New Roman"/>
          <w:sz w:val="24"/>
          <w:szCs w:val="24"/>
        </w:rPr>
        <w:t xml:space="preserve"> Using the formula outlined above, the percent of ACO spending allocated to primary care should be presented in the following ways, as both a percentage of total spend, and as a PMPM measure:</w:t>
      </w:r>
    </w:p>
    <w:p w14:paraId="0F9FAAA1" w14:textId="1C1A267A" w:rsidR="004804B3" w:rsidRPr="004804B3" w:rsidRDefault="004804B3" w:rsidP="004804B3">
      <w:pPr>
        <w:pStyle w:val="ListParagraph"/>
        <w:numPr>
          <w:ilvl w:val="0"/>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 xml:space="preserve">All-Payer ACO </w:t>
      </w:r>
      <w:r>
        <w:rPr>
          <w:rFonts w:ascii="Times New Roman" w:hAnsi="Times New Roman" w:cs="Times New Roman"/>
          <w:sz w:val="24"/>
          <w:szCs w:val="24"/>
        </w:rPr>
        <w:t xml:space="preserve">primary care </w:t>
      </w:r>
      <w:r w:rsidRPr="004804B3">
        <w:rPr>
          <w:rFonts w:ascii="Times New Roman" w:hAnsi="Times New Roman" w:cs="Times New Roman"/>
          <w:sz w:val="24"/>
          <w:szCs w:val="24"/>
        </w:rPr>
        <w:t xml:space="preserve">medical spending </w:t>
      </w:r>
    </w:p>
    <w:p w14:paraId="7B61AED6" w14:textId="22C82675" w:rsidR="004804B3" w:rsidRPr="004804B3" w:rsidRDefault="004804B3" w:rsidP="004804B3">
      <w:pPr>
        <w:pStyle w:val="ListParagraph"/>
        <w:numPr>
          <w:ilvl w:val="0"/>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 xml:space="preserve">Medicaid ACO </w:t>
      </w:r>
      <w:r>
        <w:rPr>
          <w:rFonts w:ascii="Times New Roman" w:hAnsi="Times New Roman" w:cs="Times New Roman"/>
          <w:sz w:val="24"/>
          <w:szCs w:val="24"/>
        </w:rPr>
        <w:t xml:space="preserve">primary care </w:t>
      </w:r>
      <w:r w:rsidRPr="004804B3">
        <w:rPr>
          <w:rFonts w:ascii="Times New Roman" w:hAnsi="Times New Roman" w:cs="Times New Roman"/>
          <w:sz w:val="24"/>
          <w:szCs w:val="24"/>
        </w:rPr>
        <w:t>medical spending</w:t>
      </w:r>
    </w:p>
    <w:p w14:paraId="6D7D4B77" w14:textId="5F972033" w:rsidR="004804B3" w:rsidRPr="004804B3" w:rsidRDefault="004804B3" w:rsidP="004804B3">
      <w:pPr>
        <w:pStyle w:val="ListParagraph"/>
        <w:numPr>
          <w:ilvl w:val="0"/>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 xml:space="preserve">Medicare ACO </w:t>
      </w:r>
      <w:r>
        <w:rPr>
          <w:rFonts w:ascii="Times New Roman" w:hAnsi="Times New Roman" w:cs="Times New Roman"/>
          <w:sz w:val="24"/>
          <w:szCs w:val="24"/>
        </w:rPr>
        <w:t xml:space="preserve">primary care </w:t>
      </w:r>
      <w:r w:rsidRPr="004804B3">
        <w:rPr>
          <w:rFonts w:ascii="Times New Roman" w:hAnsi="Times New Roman" w:cs="Times New Roman"/>
          <w:sz w:val="24"/>
          <w:szCs w:val="24"/>
        </w:rPr>
        <w:t>medical spending</w:t>
      </w:r>
    </w:p>
    <w:p w14:paraId="7AC4FAA7" w14:textId="1A188ED2" w:rsidR="004804B3" w:rsidRPr="004804B3" w:rsidRDefault="004804B3" w:rsidP="004804B3">
      <w:pPr>
        <w:pStyle w:val="ListParagraph"/>
        <w:numPr>
          <w:ilvl w:val="0"/>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Commercially-insured ACO</w:t>
      </w:r>
      <w:r>
        <w:rPr>
          <w:rFonts w:ascii="Times New Roman" w:hAnsi="Times New Roman" w:cs="Times New Roman"/>
          <w:sz w:val="24"/>
          <w:szCs w:val="24"/>
        </w:rPr>
        <w:t xml:space="preserve"> primary care</w:t>
      </w:r>
      <w:r w:rsidRPr="004804B3">
        <w:rPr>
          <w:rFonts w:ascii="Times New Roman" w:hAnsi="Times New Roman" w:cs="Times New Roman"/>
          <w:sz w:val="24"/>
          <w:szCs w:val="24"/>
        </w:rPr>
        <w:t xml:space="preserve"> medical spending</w:t>
      </w:r>
    </w:p>
    <w:p w14:paraId="71D0E48E" w14:textId="5D46D96C" w:rsidR="004804B3" w:rsidRPr="004804B3" w:rsidRDefault="004804B3" w:rsidP="004804B3">
      <w:pPr>
        <w:pStyle w:val="ListParagraph"/>
        <w:numPr>
          <w:ilvl w:val="1"/>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QHP</w:t>
      </w:r>
    </w:p>
    <w:p w14:paraId="020FED4A" w14:textId="698D8498" w:rsidR="004804B3" w:rsidRPr="004804B3" w:rsidRDefault="004804B3" w:rsidP="004804B3">
      <w:pPr>
        <w:pStyle w:val="ListParagraph"/>
        <w:numPr>
          <w:ilvl w:val="1"/>
          <w:numId w:val="17"/>
        </w:numPr>
        <w:spacing w:after="160" w:line="259" w:lineRule="auto"/>
        <w:rPr>
          <w:rFonts w:ascii="Times New Roman" w:hAnsi="Times New Roman" w:cs="Times New Roman"/>
          <w:sz w:val="24"/>
          <w:szCs w:val="24"/>
        </w:rPr>
      </w:pPr>
      <w:r w:rsidRPr="004804B3">
        <w:rPr>
          <w:rFonts w:ascii="Times New Roman" w:hAnsi="Times New Roman" w:cs="Times New Roman"/>
          <w:sz w:val="24"/>
          <w:szCs w:val="24"/>
        </w:rPr>
        <w:t>Self-insured</w:t>
      </w:r>
    </w:p>
    <w:p w14:paraId="5A97D4C8" w14:textId="3F37DDDA" w:rsidR="00844735" w:rsidRPr="00051598" w:rsidRDefault="00844735" w:rsidP="004804B3">
      <w:pPr>
        <w:pStyle w:val="Heading2"/>
      </w:pPr>
      <w:r>
        <w:lastRenderedPageBreak/>
        <w:t xml:space="preserve">Section 1. </w:t>
      </w:r>
      <w:r w:rsidRPr="00051598">
        <w:t>Claims</w:t>
      </w:r>
      <w:r>
        <w:t>-</w:t>
      </w:r>
      <w:r w:rsidRPr="00051598">
        <w:t>Based Spending</w:t>
      </w:r>
    </w:p>
    <w:p w14:paraId="0DCAF3A5" w14:textId="77777777" w:rsidR="00844735" w:rsidRPr="00F13690" w:rsidRDefault="00844735" w:rsidP="00844735">
      <w:pPr>
        <w:autoSpaceDE w:val="0"/>
        <w:autoSpaceDN w:val="0"/>
        <w:adjustRightInd w:val="0"/>
        <w:spacing w:after="0" w:line="240" w:lineRule="auto"/>
        <w:rPr>
          <w:sz w:val="24"/>
          <w:szCs w:val="24"/>
          <w:highlight w:val="yellow"/>
        </w:rPr>
      </w:pPr>
    </w:p>
    <w:p w14:paraId="3DF1C580" w14:textId="6FC52457" w:rsidR="00844735" w:rsidRPr="0085154A" w:rsidRDefault="00844735" w:rsidP="00844735">
      <w:pPr>
        <w:rPr>
          <w:rFonts w:ascii="Times New Roman" w:hAnsi="Times New Roman"/>
          <w:sz w:val="24"/>
          <w:szCs w:val="24"/>
        </w:rPr>
      </w:pPr>
      <w:r w:rsidRPr="0085154A">
        <w:rPr>
          <w:rFonts w:ascii="Times New Roman" w:hAnsi="Times New Roman"/>
          <w:b/>
          <w:sz w:val="24"/>
          <w:szCs w:val="24"/>
        </w:rPr>
        <w:t>Numerator:</w:t>
      </w:r>
      <w:r w:rsidRPr="0085154A">
        <w:rPr>
          <w:rFonts w:ascii="Times New Roman" w:hAnsi="Times New Roman"/>
          <w:sz w:val="24"/>
          <w:szCs w:val="24"/>
        </w:rPr>
        <w:t xml:space="preserve"> The total ACO primary care claims spend </w:t>
      </w:r>
      <w:r w:rsidR="004804B3">
        <w:rPr>
          <w:rFonts w:ascii="Times New Roman" w:hAnsi="Times New Roman"/>
          <w:sz w:val="24"/>
          <w:szCs w:val="24"/>
        </w:rPr>
        <w:t xml:space="preserve">by payer </w:t>
      </w:r>
      <w:r w:rsidRPr="0085154A">
        <w:rPr>
          <w:rFonts w:ascii="Times New Roman" w:hAnsi="Times New Roman"/>
          <w:sz w:val="24"/>
          <w:szCs w:val="24"/>
        </w:rPr>
        <w:t xml:space="preserve">as calculated using the taxonomies and CPT codes identified below. </w:t>
      </w:r>
    </w:p>
    <w:p w14:paraId="7F32A10E" w14:textId="77777777" w:rsidR="00844735" w:rsidRPr="0085154A" w:rsidRDefault="00844735" w:rsidP="00844735">
      <w:pPr>
        <w:rPr>
          <w:rFonts w:ascii="Times New Roman" w:hAnsi="Times New Roman"/>
          <w:sz w:val="24"/>
          <w:szCs w:val="24"/>
        </w:rPr>
      </w:pPr>
      <w:r w:rsidRPr="0085154A">
        <w:rPr>
          <w:rFonts w:ascii="Times New Roman" w:hAnsi="Times New Roman"/>
          <w:sz w:val="24"/>
          <w:szCs w:val="24"/>
        </w:rPr>
        <w:t>Included Provider Types:</w:t>
      </w:r>
    </w:p>
    <w:p w14:paraId="545982F5"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Family Practice </w:t>
      </w:r>
    </w:p>
    <w:p w14:paraId="0901C800"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Internal medicine with no subspecialty </w:t>
      </w:r>
    </w:p>
    <w:p w14:paraId="2462570F"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Internal medicine with subspecialty of geriatrics </w:t>
      </w:r>
    </w:p>
    <w:p w14:paraId="6BB2909F"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Pediatrics with no subspecialty </w:t>
      </w:r>
    </w:p>
    <w:p w14:paraId="3C630A1D"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General practice </w:t>
      </w:r>
    </w:p>
    <w:p w14:paraId="3E87D92C"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Nurse practitioner </w:t>
      </w:r>
    </w:p>
    <w:p w14:paraId="7CA33044"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Physician assistant </w:t>
      </w:r>
    </w:p>
    <w:p w14:paraId="1B7FA541"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Naturopath </w:t>
      </w:r>
    </w:p>
    <w:p w14:paraId="0AF36E88"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Osteopath </w:t>
      </w:r>
    </w:p>
    <w:p w14:paraId="37E4088F" w14:textId="77777777" w:rsidR="00844735" w:rsidRPr="0085154A" w:rsidRDefault="00844735" w:rsidP="004804B3">
      <w:pPr>
        <w:pStyle w:val="ListParagraph"/>
        <w:numPr>
          <w:ilvl w:val="0"/>
          <w:numId w:val="15"/>
        </w:numPr>
        <w:spacing w:after="0" w:line="240" w:lineRule="auto"/>
        <w:rPr>
          <w:rFonts w:ascii="Times New Roman" w:eastAsia="Times New Roman" w:hAnsi="Times New Roman" w:cs="Times New Roman"/>
          <w:sz w:val="24"/>
          <w:szCs w:val="24"/>
        </w:rPr>
      </w:pPr>
      <w:r w:rsidRPr="0085154A">
        <w:rPr>
          <w:rFonts w:ascii="Times New Roman" w:eastAsia="Times New Roman" w:hAnsi="Times New Roman" w:cs="Times New Roman"/>
          <w:sz w:val="24"/>
          <w:szCs w:val="24"/>
        </w:rPr>
        <w:t xml:space="preserve">OB/GYN </w:t>
      </w:r>
    </w:p>
    <w:p w14:paraId="422935C8" w14:textId="77777777" w:rsidR="00844735" w:rsidRPr="0085154A" w:rsidRDefault="00844735" w:rsidP="00844735">
      <w:pPr>
        <w:rPr>
          <w:rFonts w:ascii="Times New Roman" w:hAnsi="Times New Roman"/>
          <w:sz w:val="24"/>
          <w:szCs w:val="24"/>
        </w:rPr>
      </w:pPr>
    </w:p>
    <w:p w14:paraId="42011FB5" w14:textId="77777777" w:rsidR="00844735" w:rsidRPr="0085154A" w:rsidRDefault="00844735" w:rsidP="00844735">
      <w:pPr>
        <w:rPr>
          <w:rFonts w:ascii="Times New Roman" w:hAnsi="Times New Roman"/>
          <w:sz w:val="24"/>
          <w:szCs w:val="24"/>
        </w:rPr>
      </w:pPr>
      <w:r w:rsidRPr="0085154A">
        <w:rPr>
          <w:rFonts w:ascii="Times New Roman" w:hAnsi="Times New Roman"/>
          <w:sz w:val="24"/>
          <w:szCs w:val="24"/>
        </w:rPr>
        <w:t>Included CPT Codes:</w:t>
      </w:r>
    </w:p>
    <w:tbl>
      <w:tblPr>
        <w:tblStyle w:val="GridTable4-Accent4"/>
        <w:tblpPr w:leftFromText="180" w:rightFromText="180" w:vertAnchor="text" w:horzAnchor="margin" w:tblpXSpec="center" w:tblpY="18"/>
        <w:tblW w:w="8205" w:type="dxa"/>
        <w:tblLook w:val="0420" w:firstRow="1" w:lastRow="0" w:firstColumn="0" w:lastColumn="0" w:noHBand="0" w:noVBand="1"/>
      </w:tblPr>
      <w:tblGrid>
        <w:gridCol w:w="1790"/>
        <w:gridCol w:w="3613"/>
        <w:gridCol w:w="2802"/>
      </w:tblGrid>
      <w:tr w:rsidR="00133C77" w:rsidRPr="00F13690" w14:paraId="3511C269" w14:textId="77777777" w:rsidTr="009E5AA9">
        <w:trPr>
          <w:cnfStyle w:val="100000000000" w:firstRow="1" w:lastRow="0" w:firstColumn="0" w:lastColumn="0" w:oddVBand="0" w:evenVBand="0" w:oddHBand="0" w:evenHBand="0" w:firstRowFirstColumn="0" w:firstRowLastColumn="0" w:lastRowFirstColumn="0" w:lastRowLastColumn="0"/>
          <w:trHeight w:val="397"/>
        </w:trPr>
        <w:tc>
          <w:tcPr>
            <w:tcW w:w="1715" w:type="dxa"/>
            <w:vAlign w:val="center"/>
            <w:hideMark/>
          </w:tcPr>
          <w:p w14:paraId="78F2DEDD"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Group</w:t>
            </w:r>
          </w:p>
        </w:tc>
        <w:tc>
          <w:tcPr>
            <w:tcW w:w="3650" w:type="dxa"/>
            <w:vAlign w:val="center"/>
            <w:hideMark/>
          </w:tcPr>
          <w:p w14:paraId="185CC6F6"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Description</w:t>
            </w:r>
          </w:p>
        </w:tc>
        <w:tc>
          <w:tcPr>
            <w:tcW w:w="2840" w:type="dxa"/>
            <w:vAlign w:val="center"/>
            <w:hideMark/>
          </w:tcPr>
          <w:p w14:paraId="3A499CD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Codes</w:t>
            </w:r>
          </w:p>
        </w:tc>
      </w:tr>
      <w:tr w:rsidR="00133C77" w:rsidRPr="00F13690" w14:paraId="7B258D8C" w14:textId="77777777" w:rsidTr="009E5AA9">
        <w:trPr>
          <w:cnfStyle w:val="000000100000" w:firstRow="0" w:lastRow="0" w:firstColumn="0" w:lastColumn="0" w:oddVBand="0" w:evenVBand="0" w:oddHBand="1" w:evenHBand="0" w:firstRowFirstColumn="0" w:firstRowLastColumn="0" w:lastRowFirstColumn="0" w:lastRowLastColumn="0"/>
          <w:trHeight w:val="482"/>
        </w:trPr>
        <w:tc>
          <w:tcPr>
            <w:tcW w:w="1715" w:type="dxa"/>
            <w:vMerge w:val="restart"/>
            <w:vAlign w:val="center"/>
            <w:hideMark/>
          </w:tcPr>
          <w:p w14:paraId="055C10BD" w14:textId="77777777" w:rsidR="00133C77" w:rsidRPr="00133C77" w:rsidRDefault="00133C77" w:rsidP="009E5AA9">
            <w:pPr>
              <w:rPr>
                <w:rFonts w:ascii="Times New Roman" w:hAnsi="Times New Roman"/>
                <w:sz w:val="24"/>
                <w:szCs w:val="24"/>
              </w:rPr>
            </w:pPr>
            <w:r w:rsidRPr="00133C77">
              <w:rPr>
                <w:rFonts w:ascii="Times New Roman" w:hAnsi="Times New Roman"/>
                <w:b/>
                <w:bCs/>
                <w:sz w:val="24"/>
                <w:szCs w:val="24"/>
              </w:rPr>
              <w:t>Office Visit</w:t>
            </w:r>
          </w:p>
        </w:tc>
        <w:tc>
          <w:tcPr>
            <w:tcW w:w="3650" w:type="dxa"/>
            <w:vAlign w:val="center"/>
            <w:hideMark/>
          </w:tcPr>
          <w:p w14:paraId="37FAC6ED"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Office Visit</w:t>
            </w:r>
          </w:p>
        </w:tc>
        <w:tc>
          <w:tcPr>
            <w:tcW w:w="2840" w:type="dxa"/>
            <w:vAlign w:val="center"/>
            <w:hideMark/>
          </w:tcPr>
          <w:p w14:paraId="2AAE48A4"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99201-99205, 99211-99215</w:t>
            </w:r>
          </w:p>
        </w:tc>
      </w:tr>
      <w:tr w:rsidR="00133C77" w:rsidRPr="00F13690" w14:paraId="6A4F6C32" w14:textId="77777777" w:rsidTr="009E5AA9">
        <w:trPr>
          <w:trHeight w:val="144"/>
        </w:trPr>
        <w:tc>
          <w:tcPr>
            <w:tcW w:w="1715" w:type="dxa"/>
            <w:vMerge/>
            <w:vAlign w:val="center"/>
          </w:tcPr>
          <w:p w14:paraId="6AB4291F" w14:textId="77777777" w:rsidR="00133C77" w:rsidRPr="00133C77" w:rsidRDefault="00133C77" w:rsidP="009E5AA9">
            <w:pPr>
              <w:rPr>
                <w:rFonts w:ascii="Times New Roman" w:hAnsi="Times New Roman"/>
                <w:b/>
                <w:bCs/>
                <w:sz w:val="24"/>
                <w:szCs w:val="24"/>
              </w:rPr>
            </w:pPr>
          </w:p>
        </w:tc>
        <w:tc>
          <w:tcPr>
            <w:tcW w:w="3650" w:type="dxa"/>
            <w:shd w:val="clear" w:color="auto" w:fill="E5DFEC" w:themeFill="accent4" w:themeFillTint="33"/>
            <w:vAlign w:val="center"/>
          </w:tcPr>
          <w:p w14:paraId="1C9A6E7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Office of Other Outpatient Services</w:t>
            </w:r>
          </w:p>
        </w:tc>
        <w:tc>
          <w:tcPr>
            <w:tcW w:w="2840" w:type="dxa"/>
            <w:shd w:val="clear" w:color="auto" w:fill="E5DFEC" w:themeFill="accent4" w:themeFillTint="33"/>
            <w:vAlign w:val="center"/>
          </w:tcPr>
          <w:p w14:paraId="6B8BB945"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99241 - 99245</w:t>
            </w:r>
          </w:p>
        </w:tc>
      </w:tr>
      <w:tr w:rsidR="00133C77" w:rsidRPr="00F13690" w14:paraId="7E39D44D" w14:textId="77777777" w:rsidTr="009E5AA9">
        <w:trPr>
          <w:cnfStyle w:val="000000100000" w:firstRow="0" w:lastRow="0" w:firstColumn="0" w:lastColumn="0" w:oddVBand="0" w:evenVBand="0" w:oddHBand="1" w:evenHBand="0" w:firstRowFirstColumn="0" w:firstRowLastColumn="0" w:lastRowFirstColumn="0" w:lastRowLastColumn="0"/>
          <w:trHeight w:val="144"/>
        </w:trPr>
        <w:tc>
          <w:tcPr>
            <w:tcW w:w="1715" w:type="dxa"/>
            <w:vMerge/>
            <w:vAlign w:val="center"/>
            <w:hideMark/>
          </w:tcPr>
          <w:p w14:paraId="03F6BC2B" w14:textId="77777777" w:rsidR="00133C77" w:rsidRPr="00133C77" w:rsidRDefault="00133C77" w:rsidP="009E5AA9">
            <w:pPr>
              <w:rPr>
                <w:rFonts w:ascii="Times New Roman" w:hAnsi="Times New Roman"/>
                <w:sz w:val="24"/>
                <w:szCs w:val="24"/>
              </w:rPr>
            </w:pPr>
          </w:p>
        </w:tc>
        <w:tc>
          <w:tcPr>
            <w:tcW w:w="3650" w:type="dxa"/>
            <w:vAlign w:val="center"/>
            <w:hideMark/>
          </w:tcPr>
          <w:p w14:paraId="2B9D76B8"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Prolonged Service Office Visit</w:t>
            </w:r>
          </w:p>
        </w:tc>
        <w:tc>
          <w:tcPr>
            <w:tcW w:w="2840" w:type="dxa"/>
            <w:vAlign w:val="center"/>
            <w:hideMark/>
          </w:tcPr>
          <w:p w14:paraId="52E0340E"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99354, 99355, 99358, 99359</w:t>
            </w:r>
          </w:p>
        </w:tc>
      </w:tr>
      <w:tr w:rsidR="00133C77" w:rsidRPr="00F13690" w14:paraId="056F192A" w14:textId="77777777" w:rsidTr="009E5AA9">
        <w:trPr>
          <w:trHeight w:val="144"/>
        </w:trPr>
        <w:tc>
          <w:tcPr>
            <w:tcW w:w="1715" w:type="dxa"/>
            <w:vMerge/>
            <w:vAlign w:val="center"/>
            <w:hideMark/>
          </w:tcPr>
          <w:p w14:paraId="0B92784D" w14:textId="77777777" w:rsidR="00133C77" w:rsidRPr="00133C77" w:rsidRDefault="00133C77" w:rsidP="009E5AA9">
            <w:pPr>
              <w:rPr>
                <w:rFonts w:ascii="Times New Roman" w:hAnsi="Times New Roman"/>
                <w:sz w:val="24"/>
                <w:szCs w:val="24"/>
              </w:rPr>
            </w:pPr>
          </w:p>
        </w:tc>
        <w:tc>
          <w:tcPr>
            <w:tcW w:w="3650" w:type="dxa"/>
            <w:shd w:val="clear" w:color="auto" w:fill="E5DFEC" w:themeFill="accent4" w:themeFillTint="33"/>
            <w:vAlign w:val="center"/>
            <w:hideMark/>
          </w:tcPr>
          <w:p w14:paraId="0D1DCBDC"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Hospital Outpatient Clinic Visit</w:t>
            </w:r>
          </w:p>
        </w:tc>
        <w:tc>
          <w:tcPr>
            <w:tcW w:w="2840" w:type="dxa"/>
            <w:shd w:val="clear" w:color="auto" w:fill="E5DFEC" w:themeFill="accent4" w:themeFillTint="33"/>
            <w:vAlign w:val="center"/>
            <w:hideMark/>
          </w:tcPr>
          <w:p w14:paraId="4B227F0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G0463 (Medicare only)</w:t>
            </w:r>
          </w:p>
        </w:tc>
      </w:tr>
      <w:tr w:rsidR="00133C77" w:rsidRPr="00F13690" w14:paraId="2F893CB5" w14:textId="77777777" w:rsidTr="009E5AA9">
        <w:trPr>
          <w:cnfStyle w:val="000000100000" w:firstRow="0" w:lastRow="0" w:firstColumn="0" w:lastColumn="0" w:oddVBand="0" w:evenVBand="0" w:oddHBand="1" w:evenHBand="0" w:firstRowFirstColumn="0" w:firstRowLastColumn="0" w:lastRowFirstColumn="0" w:lastRowLastColumn="0"/>
          <w:trHeight w:val="593"/>
        </w:trPr>
        <w:tc>
          <w:tcPr>
            <w:tcW w:w="1715" w:type="dxa"/>
            <w:shd w:val="clear" w:color="auto" w:fill="auto"/>
            <w:vAlign w:val="center"/>
            <w:hideMark/>
          </w:tcPr>
          <w:p w14:paraId="122524E5" w14:textId="77777777" w:rsidR="00133C77" w:rsidRPr="00133C77" w:rsidRDefault="00133C77" w:rsidP="009E5AA9">
            <w:pPr>
              <w:rPr>
                <w:rFonts w:ascii="Times New Roman" w:hAnsi="Times New Roman"/>
                <w:sz w:val="24"/>
                <w:szCs w:val="24"/>
              </w:rPr>
            </w:pPr>
            <w:r w:rsidRPr="00133C77">
              <w:rPr>
                <w:rFonts w:ascii="Times New Roman" w:hAnsi="Times New Roman"/>
                <w:b/>
                <w:bCs/>
                <w:sz w:val="24"/>
                <w:szCs w:val="24"/>
              </w:rPr>
              <w:t>Encounter Payment</w:t>
            </w:r>
          </w:p>
        </w:tc>
        <w:tc>
          <w:tcPr>
            <w:tcW w:w="3650" w:type="dxa"/>
            <w:shd w:val="clear" w:color="auto" w:fill="auto"/>
            <w:vAlign w:val="center"/>
            <w:hideMark/>
          </w:tcPr>
          <w:p w14:paraId="3605275B"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Clinic Service (FQHCs)</w:t>
            </w:r>
          </w:p>
        </w:tc>
        <w:tc>
          <w:tcPr>
            <w:tcW w:w="2840" w:type="dxa"/>
            <w:shd w:val="clear" w:color="auto" w:fill="auto"/>
            <w:vAlign w:val="center"/>
            <w:hideMark/>
          </w:tcPr>
          <w:p w14:paraId="7EC3907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T1015</w:t>
            </w:r>
          </w:p>
        </w:tc>
      </w:tr>
      <w:tr w:rsidR="00133C77" w:rsidRPr="00F13690" w14:paraId="6A63CF6B" w14:textId="77777777" w:rsidTr="009E5AA9">
        <w:trPr>
          <w:trHeight w:val="397"/>
        </w:trPr>
        <w:tc>
          <w:tcPr>
            <w:tcW w:w="1715" w:type="dxa"/>
            <w:vMerge w:val="restart"/>
            <w:shd w:val="clear" w:color="auto" w:fill="E5DFEC" w:themeFill="accent4" w:themeFillTint="33"/>
            <w:vAlign w:val="center"/>
            <w:hideMark/>
          </w:tcPr>
          <w:p w14:paraId="3EEAB6C2" w14:textId="77777777" w:rsidR="00133C77" w:rsidRPr="00133C77" w:rsidRDefault="00133C77" w:rsidP="009E5AA9">
            <w:pPr>
              <w:rPr>
                <w:rFonts w:ascii="Times New Roman" w:hAnsi="Times New Roman"/>
                <w:sz w:val="24"/>
                <w:szCs w:val="24"/>
              </w:rPr>
            </w:pPr>
            <w:r w:rsidRPr="00133C77">
              <w:rPr>
                <w:rFonts w:ascii="Times New Roman" w:hAnsi="Times New Roman"/>
                <w:b/>
                <w:bCs/>
                <w:sz w:val="24"/>
                <w:szCs w:val="24"/>
              </w:rPr>
              <w:t xml:space="preserve">Preventive </w:t>
            </w:r>
            <w:r w:rsidRPr="00133C77">
              <w:rPr>
                <w:rFonts w:ascii="Times New Roman" w:hAnsi="Times New Roman"/>
                <w:b/>
                <w:bCs/>
                <w:sz w:val="24"/>
                <w:szCs w:val="24"/>
              </w:rPr>
              <w:br/>
              <w:t>Visit</w:t>
            </w:r>
          </w:p>
        </w:tc>
        <w:tc>
          <w:tcPr>
            <w:tcW w:w="3650" w:type="dxa"/>
            <w:shd w:val="clear" w:color="auto" w:fill="E5DFEC" w:themeFill="accent4" w:themeFillTint="33"/>
            <w:vAlign w:val="center"/>
            <w:hideMark/>
          </w:tcPr>
          <w:p w14:paraId="4D72037F"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Comprehensive Preventive Medicine</w:t>
            </w:r>
          </w:p>
        </w:tc>
        <w:tc>
          <w:tcPr>
            <w:tcW w:w="2840" w:type="dxa"/>
            <w:shd w:val="clear" w:color="auto" w:fill="E5DFEC" w:themeFill="accent4" w:themeFillTint="33"/>
            <w:vAlign w:val="center"/>
            <w:hideMark/>
          </w:tcPr>
          <w:p w14:paraId="29FD02DE"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99381-99387, 99391-99397</w:t>
            </w:r>
          </w:p>
        </w:tc>
      </w:tr>
      <w:tr w:rsidR="00133C77" w:rsidRPr="00F13690" w14:paraId="0C0C8C2E" w14:textId="77777777" w:rsidTr="009E5AA9">
        <w:trPr>
          <w:cnfStyle w:val="000000100000" w:firstRow="0" w:lastRow="0" w:firstColumn="0" w:lastColumn="0" w:oddVBand="0" w:evenVBand="0" w:oddHBand="1" w:evenHBand="0" w:firstRowFirstColumn="0" w:firstRowLastColumn="0" w:lastRowFirstColumn="0" w:lastRowLastColumn="0"/>
          <w:trHeight w:val="397"/>
        </w:trPr>
        <w:tc>
          <w:tcPr>
            <w:tcW w:w="1715" w:type="dxa"/>
            <w:vMerge/>
            <w:vAlign w:val="center"/>
            <w:hideMark/>
          </w:tcPr>
          <w:p w14:paraId="121934BC" w14:textId="77777777" w:rsidR="00133C77" w:rsidRPr="00133C77" w:rsidRDefault="00133C77" w:rsidP="009E5AA9">
            <w:pPr>
              <w:rPr>
                <w:rFonts w:ascii="Times New Roman" w:hAnsi="Times New Roman"/>
                <w:sz w:val="24"/>
                <w:szCs w:val="24"/>
              </w:rPr>
            </w:pPr>
          </w:p>
        </w:tc>
        <w:tc>
          <w:tcPr>
            <w:tcW w:w="3650" w:type="dxa"/>
            <w:vAlign w:val="center"/>
            <w:hideMark/>
          </w:tcPr>
          <w:p w14:paraId="6C08C33F"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Preventive Counseling</w:t>
            </w:r>
          </w:p>
        </w:tc>
        <w:tc>
          <w:tcPr>
            <w:tcW w:w="2840" w:type="dxa"/>
            <w:vAlign w:val="center"/>
            <w:hideMark/>
          </w:tcPr>
          <w:p w14:paraId="27373582"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99401-99404, 99411, 99412</w:t>
            </w:r>
          </w:p>
        </w:tc>
      </w:tr>
      <w:tr w:rsidR="00133C77" w:rsidRPr="00F13690" w14:paraId="7EAC9CDE" w14:textId="77777777" w:rsidTr="009E5AA9">
        <w:trPr>
          <w:trHeight w:val="397"/>
        </w:trPr>
        <w:tc>
          <w:tcPr>
            <w:tcW w:w="1715" w:type="dxa"/>
            <w:vMerge/>
            <w:shd w:val="clear" w:color="auto" w:fill="E5DFEC" w:themeFill="accent4" w:themeFillTint="33"/>
            <w:vAlign w:val="center"/>
            <w:hideMark/>
          </w:tcPr>
          <w:p w14:paraId="586A6CEB" w14:textId="77777777" w:rsidR="00133C77" w:rsidRPr="00133C77" w:rsidRDefault="00133C77" w:rsidP="009E5AA9">
            <w:pPr>
              <w:rPr>
                <w:rFonts w:ascii="Times New Roman" w:hAnsi="Times New Roman"/>
                <w:sz w:val="24"/>
                <w:szCs w:val="24"/>
              </w:rPr>
            </w:pPr>
          </w:p>
        </w:tc>
        <w:tc>
          <w:tcPr>
            <w:tcW w:w="3650" w:type="dxa"/>
            <w:shd w:val="clear" w:color="auto" w:fill="E5DFEC" w:themeFill="accent4" w:themeFillTint="33"/>
            <w:vAlign w:val="center"/>
            <w:hideMark/>
          </w:tcPr>
          <w:p w14:paraId="05E153A8"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Smoking Cessation Counseling</w:t>
            </w:r>
          </w:p>
        </w:tc>
        <w:tc>
          <w:tcPr>
            <w:tcW w:w="2840" w:type="dxa"/>
            <w:shd w:val="clear" w:color="auto" w:fill="E5DFEC" w:themeFill="accent4" w:themeFillTint="33"/>
            <w:vAlign w:val="center"/>
            <w:hideMark/>
          </w:tcPr>
          <w:p w14:paraId="3053172B"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99406, 99407</w:t>
            </w:r>
          </w:p>
        </w:tc>
      </w:tr>
      <w:tr w:rsidR="00133C77" w:rsidRPr="00F13690" w14:paraId="2822D396" w14:textId="77777777" w:rsidTr="009E5AA9">
        <w:trPr>
          <w:cnfStyle w:val="000000100000" w:firstRow="0" w:lastRow="0" w:firstColumn="0" w:lastColumn="0" w:oddVBand="0" w:evenVBand="0" w:oddHBand="1" w:evenHBand="0" w:firstRowFirstColumn="0" w:firstRowLastColumn="0" w:lastRowFirstColumn="0" w:lastRowLastColumn="0"/>
          <w:trHeight w:val="397"/>
        </w:trPr>
        <w:tc>
          <w:tcPr>
            <w:tcW w:w="1715" w:type="dxa"/>
            <w:vMerge/>
            <w:vAlign w:val="center"/>
            <w:hideMark/>
          </w:tcPr>
          <w:p w14:paraId="3F0ADF18" w14:textId="77777777" w:rsidR="00133C77" w:rsidRPr="00133C77" w:rsidRDefault="00133C77" w:rsidP="009E5AA9">
            <w:pPr>
              <w:rPr>
                <w:rFonts w:ascii="Times New Roman" w:hAnsi="Times New Roman"/>
                <w:sz w:val="24"/>
                <w:szCs w:val="24"/>
              </w:rPr>
            </w:pPr>
          </w:p>
        </w:tc>
        <w:tc>
          <w:tcPr>
            <w:tcW w:w="3650" w:type="dxa"/>
            <w:vAlign w:val="center"/>
            <w:hideMark/>
          </w:tcPr>
          <w:p w14:paraId="1F1D6BAB"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Alcohol/Substance Abuse Screening</w:t>
            </w:r>
          </w:p>
        </w:tc>
        <w:tc>
          <w:tcPr>
            <w:tcW w:w="2840" w:type="dxa"/>
            <w:vAlign w:val="center"/>
            <w:hideMark/>
          </w:tcPr>
          <w:p w14:paraId="46B851B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99408, 99409</w:t>
            </w:r>
          </w:p>
        </w:tc>
      </w:tr>
      <w:tr w:rsidR="00133C77" w:rsidRPr="00F13690" w14:paraId="35CF9ED3" w14:textId="77777777" w:rsidTr="009E5AA9">
        <w:trPr>
          <w:trHeight w:val="397"/>
        </w:trPr>
        <w:tc>
          <w:tcPr>
            <w:tcW w:w="1715" w:type="dxa"/>
            <w:vMerge/>
            <w:shd w:val="clear" w:color="auto" w:fill="E5DFEC" w:themeFill="accent4" w:themeFillTint="33"/>
            <w:vAlign w:val="center"/>
            <w:hideMark/>
          </w:tcPr>
          <w:p w14:paraId="5B1BE4A0" w14:textId="77777777" w:rsidR="00133C77" w:rsidRPr="00133C77" w:rsidRDefault="00133C77" w:rsidP="009E5AA9">
            <w:pPr>
              <w:rPr>
                <w:rFonts w:ascii="Times New Roman" w:hAnsi="Times New Roman"/>
                <w:sz w:val="24"/>
                <w:szCs w:val="24"/>
              </w:rPr>
            </w:pPr>
          </w:p>
        </w:tc>
        <w:tc>
          <w:tcPr>
            <w:tcW w:w="3650" w:type="dxa"/>
            <w:shd w:val="clear" w:color="auto" w:fill="E5DFEC" w:themeFill="accent4" w:themeFillTint="33"/>
            <w:vAlign w:val="center"/>
            <w:hideMark/>
          </w:tcPr>
          <w:p w14:paraId="581EC4BC"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Health Risk Assessment</w:t>
            </w:r>
          </w:p>
        </w:tc>
        <w:tc>
          <w:tcPr>
            <w:tcW w:w="2840" w:type="dxa"/>
            <w:shd w:val="clear" w:color="auto" w:fill="E5DFEC" w:themeFill="accent4" w:themeFillTint="33"/>
            <w:vAlign w:val="center"/>
            <w:hideMark/>
          </w:tcPr>
          <w:p w14:paraId="2F6E4EBE"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99420</w:t>
            </w:r>
          </w:p>
        </w:tc>
      </w:tr>
      <w:tr w:rsidR="00133C77" w:rsidRPr="00F13690" w14:paraId="65C03A9F" w14:textId="77777777" w:rsidTr="009E5AA9">
        <w:trPr>
          <w:cnfStyle w:val="000000100000" w:firstRow="0" w:lastRow="0" w:firstColumn="0" w:lastColumn="0" w:oddVBand="0" w:evenVBand="0" w:oddHBand="1" w:evenHBand="0" w:firstRowFirstColumn="0" w:firstRowLastColumn="0" w:lastRowFirstColumn="0" w:lastRowLastColumn="0"/>
          <w:trHeight w:val="397"/>
        </w:trPr>
        <w:tc>
          <w:tcPr>
            <w:tcW w:w="1715" w:type="dxa"/>
            <w:vMerge/>
            <w:vAlign w:val="center"/>
            <w:hideMark/>
          </w:tcPr>
          <w:p w14:paraId="790CC949" w14:textId="77777777" w:rsidR="00133C77" w:rsidRPr="00133C77" w:rsidRDefault="00133C77" w:rsidP="009E5AA9">
            <w:pPr>
              <w:rPr>
                <w:rFonts w:ascii="Times New Roman" w:hAnsi="Times New Roman"/>
                <w:sz w:val="24"/>
                <w:szCs w:val="24"/>
              </w:rPr>
            </w:pPr>
          </w:p>
        </w:tc>
        <w:tc>
          <w:tcPr>
            <w:tcW w:w="3650" w:type="dxa"/>
            <w:vAlign w:val="center"/>
            <w:hideMark/>
          </w:tcPr>
          <w:p w14:paraId="7A92DE0B"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Unlisted Preventive Service</w:t>
            </w:r>
          </w:p>
        </w:tc>
        <w:tc>
          <w:tcPr>
            <w:tcW w:w="2840" w:type="dxa"/>
            <w:vAlign w:val="center"/>
            <w:hideMark/>
          </w:tcPr>
          <w:p w14:paraId="6F5D34D1"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99429</w:t>
            </w:r>
          </w:p>
        </w:tc>
      </w:tr>
      <w:tr w:rsidR="00133C77" w:rsidRPr="00F13690" w14:paraId="05A690FD" w14:textId="77777777" w:rsidTr="009E5AA9">
        <w:trPr>
          <w:trHeight w:val="397"/>
        </w:trPr>
        <w:tc>
          <w:tcPr>
            <w:tcW w:w="1715" w:type="dxa"/>
            <w:vMerge/>
            <w:shd w:val="clear" w:color="auto" w:fill="E5DFEC" w:themeFill="accent4" w:themeFillTint="33"/>
            <w:vAlign w:val="center"/>
            <w:hideMark/>
          </w:tcPr>
          <w:p w14:paraId="1A95D9FA" w14:textId="77777777" w:rsidR="00133C77" w:rsidRPr="00133C77" w:rsidRDefault="00133C77" w:rsidP="009E5AA9">
            <w:pPr>
              <w:rPr>
                <w:rFonts w:ascii="Times New Roman" w:hAnsi="Times New Roman"/>
                <w:sz w:val="24"/>
                <w:szCs w:val="24"/>
              </w:rPr>
            </w:pPr>
          </w:p>
        </w:tc>
        <w:tc>
          <w:tcPr>
            <w:tcW w:w="3650" w:type="dxa"/>
            <w:shd w:val="clear" w:color="auto" w:fill="E5DFEC" w:themeFill="accent4" w:themeFillTint="33"/>
            <w:vAlign w:val="center"/>
            <w:hideMark/>
          </w:tcPr>
          <w:p w14:paraId="01D81B19"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Initial Preventive Physical Exam</w:t>
            </w:r>
          </w:p>
        </w:tc>
        <w:tc>
          <w:tcPr>
            <w:tcW w:w="2840" w:type="dxa"/>
            <w:shd w:val="clear" w:color="auto" w:fill="E5DFEC" w:themeFill="accent4" w:themeFillTint="33"/>
            <w:vAlign w:val="center"/>
            <w:hideMark/>
          </w:tcPr>
          <w:p w14:paraId="5A94484D"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G0402</w:t>
            </w:r>
          </w:p>
        </w:tc>
      </w:tr>
      <w:tr w:rsidR="00133C77" w:rsidRPr="00F13690" w14:paraId="5F6B5E38" w14:textId="77777777" w:rsidTr="009E5AA9">
        <w:trPr>
          <w:cnfStyle w:val="000000100000" w:firstRow="0" w:lastRow="0" w:firstColumn="0" w:lastColumn="0" w:oddVBand="0" w:evenVBand="0" w:oddHBand="1" w:evenHBand="0" w:firstRowFirstColumn="0" w:firstRowLastColumn="0" w:lastRowFirstColumn="0" w:lastRowLastColumn="0"/>
          <w:trHeight w:val="397"/>
        </w:trPr>
        <w:tc>
          <w:tcPr>
            <w:tcW w:w="1715" w:type="dxa"/>
            <w:vMerge/>
            <w:vAlign w:val="center"/>
            <w:hideMark/>
          </w:tcPr>
          <w:p w14:paraId="6214EA50" w14:textId="77777777" w:rsidR="00133C77" w:rsidRPr="00133C77" w:rsidRDefault="00133C77" w:rsidP="009E5AA9">
            <w:pPr>
              <w:rPr>
                <w:rFonts w:ascii="Times New Roman" w:hAnsi="Times New Roman"/>
                <w:sz w:val="24"/>
                <w:szCs w:val="24"/>
              </w:rPr>
            </w:pPr>
          </w:p>
        </w:tc>
        <w:tc>
          <w:tcPr>
            <w:tcW w:w="3650" w:type="dxa"/>
            <w:vAlign w:val="center"/>
            <w:hideMark/>
          </w:tcPr>
          <w:p w14:paraId="576DE5F0"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Annual Wellness Visit</w:t>
            </w:r>
          </w:p>
        </w:tc>
        <w:tc>
          <w:tcPr>
            <w:tcW w:w="2840" w:type="dxa"/>
            <w:vAlign w:val="center"/>
            <w:hideMark/>
          </w:tcPr>
          <w:p w14:paraId="2E1B1117"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G0438, G0439</w:t>
            </w:r>
          </w:p>
        </w:tc>
      </w:tr>
      <w:tr w:rsidR="00133C77" w:rsidRPr="00F13690" w14:paraId="61E681AE" w14:textId="77777777" w:rsidTr="009E5AA9">
        <w:trPr>
          <w:trHeight w:val="397"/>
        </w:trPr>
        <w:tc>
          <w:tcPr>
            <w:tcW w:w="1715" w:type="dxa"/>
            <w:vMerge w:val="restart"/>
            <w:shd w:val="clear" w:color="auto" w:fill="auto"/>
            <w:vAlign w:val="center"/>
            <w:hideMark/>
          </w:tcPr>
          <w:p w14:paraId="350A7365" w14:textId="77777777" w:rsidR="00133C77" w:rsidRPr="00133C77" w:rsidRDefault="00133C77" w:rsidP="009E5AA9">
            <w:pPr>
              <w:rPr>
                <w:rFonts w:ascii="Times New Roman" w:hAnsi="Times New Roman"/>
                <w:sz w:val="24"/>
                <w:szCs w:val="24"/>
              </w:rPr>
            </w:pPr>
            <w:r w:rsidRPr="00133C77">
              <w:rPr>
                <w:rFonts w:ascii="Times New Roman" w:hAnsi="Times New Roman"/>
                <w:b/>
                <w:bCs/>
                <w:sz w:val="24"/>
                <w:szCs w:val="24"/>
              </w:rPr>
              <w:t>Vaccine Administration</w:t>
            </w:r>
          </w:p>
        </w:tc>
        <w:tc>
          <w:tcPr>
            <w:tcW w:w="3650" w:type="dxa"/>
            <w:shd w:val="clear" w:color="auto" w:fill="auto"/>
            <w:vAlign w:val="center"/>
            <w:hideMark/>
          </w:tcPr>
          <w:p w14:paraId="6CF9B67E"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Immunization Administration</w:t>
            </w:r>
          </w:p>
        </w:tc>
        <w:tc>
          <w:tcPr>
            <w:tcW w:w="2840" w:type="dxa"/>
            <w:shd w:val="clear" w:color="auto" w:fill="auto"/>
            <w:vAlign w:val="center"/>
            <w:hideMark/>
          </w:tcPr>
          <w:p w14:paraId="42DAE095"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90460, 90461, 90471-90474</w:t>
            </w:r>
          </w:p>
        </w:tc>
      </w:tr>
      <w:tr w:rsidR="00133C77" w:rsidRPr="00F13690" w14:paraId="0CA305A8" w14:textId="77777777" w:rsidTr="009E5AA9">
        <w:trPr>
          <w:cnfStyle w:val="000000100000" w:firstRow="0" w:lastRow="0" w:firstColumn="0" w:lastColumn="0" w:oddVBand="0" w:evenVBand="0" w:oddHBand="1" w:evenHBand="0" w:firstRowFirstColumn="0" w:firstRowLastColumn="0" w:lastRowFirstColumn="0" w:lastRowLastColumn="0"/>
          <w:trHeight w:val="397"/>
        </w:trPr>
        <w:tc>
          <w:tcPr>
            <w:tcW w:w="1715" w:type="dxa"/>
            <w:vMerge/>
            <w:shd w:val="clear" w:color="auto" w:fill="auto"/>
            <w:vAlign w:val="center"/>
            <w:hideMark/>
          </w:tcPr>
          <w:p w14:paraId="6309C9F9" w14:textId="77777777" w:rsidR="00133C77" w:rsidRPr="00133C77" w:rsidRDefault="00133C77" w:rsidP="009E5AA9">
            <w:pPr>
              <w:rPr>
                <w:rFonts w:ascii="Times New Roman" w:hAnsi="Times New Roman"/>
                <w:sz w:val="24"/>
                <w:szCs w:val="24"/>
              </w:rPr>
            </w:pPr>
          </w:p>
        </w:tc>
        <w:tc>
          <w:tcPr>
            <w:tcW w:w="3650" w:type="dxa"/>
            <w:shd w:val="clear" w:color="auto" w:fill="auto"/>
            <w:vAlign w:val="center"/>
            <w:hideMark/>
          </w:tcPr>
          <w:p w14:paraId="09964687"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Flu Vaccine Administration</w:t>
            </w:r>
          </w:p>
        </w:tc>
        <w:tc>
          <w:tcPr>
            <w:tcW w:w="2840" w:type="dxa"/>
            <w:shd w:val="clear" w:color="auto" w:fill="auto"/>
            <w:vAlign w:val="center"/>
            <w:hideMark/>
          </w:tcPr>
          <w:p w14:paraId="651C6030"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G0008</w:t>
            </w:r>
          </w:p>
        </w:tc>
      </w:tr>
      <w:tr w:rsidR="00133C77" w:rsidRPr="00F13690" w14:paraId="4F88168C" w14:textId="77777777" w:rsidTr="009E5AA9">
        <w:trPr>
          <w:trHeight w:val="397"/>
        </w:trPr>
        <w:tc>
          <w:tcPr>
            <w:tcW w:w="1715" w:type="dxa"/>
            <w:vMerge/>
            <w:shd w:val="clear" w:color="auto" w:fill="auto"/>
            <w:vAlign w:val="center"/>
            <w:hideMark/>
          </w:tcPr>
          <w:p w14:paraId="651CA6F1" w14:textId="77777777" w:rsidR="00133C77" w:rsidRPr="00133C77" w:rsidRDefault="00133C77" w:rsidP="009E5AA9">
            <w:pPr>
              <w:rPr>
                <w:rFonts w:ascii="Times New Roman" w:hAnsi="Times New Roman"/>
                <w:sz w:val="24"/>
                <w:szCs w:val="24"/>
              </w:rPr>
            </w:pPr>
          </w:p>
        </w:tc>
        <w:tc>
          <w:tcPr>
            <w:tcW w:w="3650" w:type="dxa"/>
            <w:shd w:val="clear" w:color="auto" w:fill="auto"/>
            <w:vAlign w:val="center"/>
            <w:hideMark/>
          </w:tcPr>
          <w:p w14:paraId="173D4C23"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Pneumonia Vaccine Administration</w:t>
            </w:r>
          </w:p>
        </w:tc>
        <w:tc>
          <w:tcPr>
            <w:tcW w:w="2840" w:type="dxa"/>
            <w:shd w:val="clear" w:color="auto" w:fill="auto"/>
            <w:vAlign w:val="center"/>
            <w:hideMark/>
          </w:tcPr>
          <w:p w14:paraId="259E935D"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G0009</w:t>
            </w:r>
          </w:p>
        </w:tc>
      </w:tr>
      <w:tr w:rsidR="00133C77" w:rsidRPr="00F13690" w14:paraId="3B6F9CEA" w14:textId="77777777" w:rsidTr="009E5AA9">
        <w:trPr>
          <w:cnfStyle w:val="000000100000" w:firstRow="0" w:lastRow="0" w:firstColumn="0" w:lastColumn="0" w:oddVBand="0" w:evenVBand="0" w:oddHBand="1" w:evenHBand="0" w:firstRowFirstColumn="0" w:firstRowLastColumn="0" w:lastRowFirstColumn="0" w:lastRowLastColumn="0"/>
          <w:trHeight w:val="515"/>
        </w:trPr>
        <w:tc>
          <w:tcPr>
            <w:tcW w:w="1715" w:type="dxa"/>
            <w:vAlign w:val="center"/>
            <w:hideMark/>
          </w:tcPr>
          <w:p w14:paraId="32D5E8CE" w14:textId="77777777" w:rsidR="00133C77" w:rsidRPr="00133C77" w:rsidRDefault="00133C77" w:rsidP="009E5AA9">
            <w:pPr>
              <w:rPr>
                <w:rFonts w:ascii="Times New Roman" w:hAnsi="Times New Roman"/>
                <w:sz w:val="24"/>
                <w:szCs w:val="24"/>
              </w:rPr>
            </w:pPr>
            <w:r w:rsidRPr="00133C77">
              <w:rPr>
                <w:rFonts w:ascii="Times New Roman" w:hAnsi="Times New Roman"/>
                <w:b/>
                <w:bCs/>
                <w:sz w:val="24"/>
                <w:szCs w:val="24"/>
              </w:rPr>
              <w:t>Care Management</w:t>
            </w:r>
          </w:p>
        </w:tc>
        <w:tc>
          <w:tcPr>
            <w:tcW w:w="3650" w:type="dxa"/>
            <w:vAlign w:val="center"/>
            <w:hideMark/>
          </w:tcPr>
          <w:p w14:paraId="5350E88C"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Transitional Care Management</w:t>
            </w:r>
          </w:p>
        </w:tc>
        <w:tc>
          <w:tcPr>
            <w:tcW w:w="2840" w:type="dxa"/>
            <w:vAlign w:val="center"/>
            <w:hideMark/>
          </w:tcPr>
          <w:p w14:paraId="61F62829"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99495, 99496</w:t>
            </w:r>
          </w:p>
        </w:tc>
      </w:tr>
      <w:tr w:rsidR="00133C77" w:rsidRPr="00F13690" w14:paraId="050FF769" w14:textId="77777777" w:rsidTr="009E5AA9">
        <w:trPr>
          <w:trHeight w:val="515"/>
        </w:trPr>
        <w:tc>
          <w:tcPr>
            <w:tcW w:w="1715" w:type="dxa"/>
            <w:shd w:val="clear" w:color="auto" w:fill="auto"/>
            <w:vAlign w:val="center"/>
          </w:tcPr>
          <w:p w14:paraId="43E385B0" w14:textId="77777777" w:rsidR="00133C77" w:rsidRPr="00133C77" w:rsidRDefault="00133C77" w:rsidP="009E5AA9">
            <w:pPr>
              <w:rPr>
                <w:rFonts w:ascii="Times New Roman" w:hAnsi="Times New Roman"/>
                <w:b/>
                <w:bCs/>
                <w:sz w:val="24"/>
                <w:szCs w:val="24"/>
              </w:rPr>
            </w:pPr>
            <w:r w:rsidRPr="00133C77">
              <w:rPr>
                <w:rFonts w:ascii="Times New Roman" w:hAnsi="Times New Roman"/>
                <w:b/>
                <w:bCs/>
                <w:sz w:val="24"/>
                <w:szCs w:val="24"/>
              </w:rPr>
              <w:t>CCM Codes</w:t>
            </w:r>
          </w:p>
        </w:tc>
        <w:tc>
          <w:tcPr>
            <w:tcW w:w="3650" w:type="dxa"/>
            <w:shd w:val="clear" w:color="auto" w:fill="auto"/>
            <w:vAlign w:val="center"/>
          </w:tcPr>
          <w:p w14:paraId="0A8C9220"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 xml:space="preserve">Chronic Care Management </w:t>
            </w:r>
          </w:p>
        </w:tc>
        <w:tc>
          <w:tcPr>
            <w:tcW w:w="2840" w:type="dxa"/>
            <w:shd w:val="clear" w:color="auto" w:fill="auto"/>
            <w:vAlign w:val="center"/>
          </w:tcPr>
          <w:p w14:paraId="4DCE794A"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99490, 99487, 99489, G0506</w:t>
            </w:r>
          </w:p>
        </w:tc>
      </w:tr>
      <w:tr w:rsidR="00133C77" w:rsidRPr="00F13690" w14:paraId="2FA2D4D1" w14:textId="77777777" w:rsidTr="009E5AA9">
        <w:trPr>
          <w:cnfStyle w:val="000000100000" w:firstRow="0" w:lastRow="0" w:firstColumn="0" w:lastColumn="0" w:oddVBand="0" w:evenVBand="0" w:oddHBand="1" w:evenHBand="0" w:firstRowFirstColumn="0" w:firstRowLastColumn="0" w:lastRowFirstColumn="0" w:lastRowLastColumn="0"/>
          <w:trHeight w:val="515"/>
        </w:trPr>
        <w:tc>
          <w:tcPr>
            <w:tcW w:w="1715" w:type="dxa"/>
            <w:vMerge w:val="restart"/>
            <w:vAlign w:val="center"/>
          </w:tcPr>
          <w:p w14:paraId="50931D5B" w14:textId="77777777" w:rsidR="00133C77" w:rsidRPr="00133C77" w:rsidRDefault="00133C77" w:rsidP="009E5AA9">
            <w:pPr>
              <w:rPr>
                <w:rFonts w:ascii="Times New Roman" w:hAnsi="Times New Roman"/>
                <w:b/>
                <w:bCs/>
                <w:sz w:val="24"/>
                <w:szCs w:val="24"/>
              </w:rPr>
            </w:pPr>
            <w:r w:rsidRPr="00133C77">
              <w:rPr>
                <w:rFonts w:ascii="Times New Roman" w:hAnsi="Times New Roman"/>
                <w:b/>
                <w:bCs/>
                <w:sz w:val="24"/>
                <w:szCs w:val="24"/>
              </w:rPr>
              <w:t>OB/GYN</w:t>
            </w:r>
          </w:p>
        </w:tc>
        <w:tc>
          <w:tcPr>
            <w:tcW w:w="3650" w:type="dxa"/>
            <w:vAlign w:val="center"/>
          </w:tcPr>
          <w:p w14:paraId="36DA1E53"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Routine Obstetric Care</w:t>
            </w:r>
          </w:p>
        </w:tc>
        <w:tc>
          <w:tcPr>
            <w:tcW w:w="2840" w:type="dxa"/>
            <w:vAlign w:val="center"/>
          </w:tcPr>
          <w:p w14:paraId="68CA3010"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 xml:space="preserve">59400, 59510, 59610, 59618 </w:t>
            </w:r>
          </w:p>
        </w:tc>
      </w:tr>
      <w:tr w:rsidR="00133C77" w:rsidRPr="00F13690" w14:paraId="40D32E0F" w14:textId="77777777" w:rsidTr="009E5AA9">
        <w:trPr>
          <w:trHeight w:val="515"/>
        </w:trPr>
        <w:tc>
          <w:tcPr>
            <w:tcW w:w="1715" w:type="dxa"/>
            <w:vMerge/>
            <w:shd w:val="clear" w:color="auto" w:fill="E5DFEC" w:themeFill="accent4" w:themeFillTint="33"/>
            <w:vAlign w:val="center"/>
          </w:tcPr>
          <w:p w14:paraId="14CB2B32" w14:textId="77777777" w:rsidR="00133C77" w:rsidRPr="00133C77" w:rsidRDefault="00133C77" w:rsidP="009E5AA9">
            <w:pPr>
              <w:rPr>
                <w:rFonts w:ascii="Times New Roman" w:hAnsi="Times New Roman"/>
                <w:b/>
                <w:bCs/>
                <w:sz w:val="24"/>
                <w:szCs w:val="24"/>
              </w:rPr>
            </w:pPr>
          </w:p>
        </w:tc>
        <w:tc>
          <w:tcPr>
            <w:tcW w:w="3650" w:type="dxa"/>
            <w:shd w:val="clear" w:color="auto" w:fill="E5DFEC" w:themeFill="accent4" w:themeFillTint="33"/>
            <w:vAlign w:val="center"/>
          </w:tcPr>
          <w:p w14:paraId="5144EBC3"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Evaluation &amp; Management Services</w:t>
            </w:r>
          </w:p>
        </w:tc>
        <w:tc>
          <w:tcPr>
            <w:tcW w:w="2840" w:type="dxa"/>
            <w:shd w:val="clear" w:color="auto" w:fill="E5DFEC" w:themeFill="accent4" w:themeFillTint="33"/>
            <w:vAlign w:val="center"/>
          </w:tcPr>
          <w:p w14:paraId="5C15866F"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99460 – 99465</w:t>
            </w:r>
          </w:p>
        </w:tc>
      </w:tr>
      <w:tr w:rsidR="00133C77" w:rsidRPr="00F13690" w14:paraId="259C6BA4" w14:textId="77777777" w:rsidTr="009E5AA9">
        <w:trPr>
          <w:cnfStyle w:val="000000100000" w:firstRow="0" w:lastRow="0" w:firstColumn="0" w:lastColumn="0" w:oddVBand="0" w:evenVBand="0" w:oddHBand="1" w:evenHBand="0" w:firstRowFirstColumn="0" w:firstRowLastColumn="0" w:lastRowFirstColumn="0" w:lastRowLastColumn="0"/>
          <w:trHeight w:val="515"/>
        </w:trPr>
        <w:tc>
          <w:tcPr>
            <w:tcW w:w="1715" w:type="dxa"/>
            <w:shd w:val="clear" w:color="auto" w:fill="auto"/>
            <w:vAlign w:val="center"/>
          </w:tcPr>
          <w:p w14:paraId="009AD835" w14:textId="77777777" w:rsidR="00133C77" w:rsidRPr="00133C77" w:rsidRDefault="00133C77" w:rsidP="009E5AA9">
            <w:pPr>
              <w:rPr>
                <w:rFonts w:ascii="Times New Roman" w:hAnsi="Times New Roman"/>
                <w:b/>
                <w:bCs/>
                <w:sz w:val="24"/>
                <w:szCs w:val="24"/>
              </w:rPr>
            </w:pPr>
            <w:r w:rsidRPr="00133C77">
              <w:rPr>
                <w:rFonts w:ascii="Times New Roman" w:hAnsi="Times New Roman"/>
                <w:b/>
                <w:bCs/>
                <w:sz w:val="24"/>
                <w:szCs w:val="24"/>
              </w:rPr>
              <w:t xml:space="preserve">Nursing Facility </w:t>
            </w:r>
          </w:p>
        </w:tc>
        <w:tc>
          <w:tcPr>
            <w:tcW w:w="3650" w:type="dxa"/>
            <w:shd w:val="clear" w:color="auto" w:fill="auto"/>
            <w:vAlign w:val="center"/>
          </w:tcPr>
          <w:p w14:paraId="4F652C2A"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Nursing Facility Care</w:t>
            </w:r>
          </w:p>
        </w:tc>
        <w:tc>
          <w:tcPr>
            <w:tcW w:w="2840" w:type="dxa"/>
            <w:shd w:val="clear" w:color="auto" w:fill="auto"/>
            <w:vAlign w:val="center"/>
          </w:tcPr>
          <w:p w14:paraId="775C28F6"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99304 – 99310, 99315 – 99316, 99318</w:t>
            </w:r>
          </w:p>
        </w:tc>
      </w:tr>
      <w:tr w:rsidR="00133C77" w:rsidRPr="00F13690" w14:paraId="060ADD87" w14:textId="77777777" w:rsidTr="009E5AA9">
        <w:trPr>
          <w:trHeight w:val="515"/>
        </w:trPr>
        <w:tc>
          <w:tcPr>
            <w:tcW w:w="1715" w:type="dxa"/>
            <w:shd w:val="clear" w:color="auto" w:fill="E5DFEC" w:themeFill="accent4" w:themeFillTint="33"/>
            <w:vAlign w:val="center"/>
          </w:tcPr>
          <w:p w14:paraId="7CDA393B" w14:textId="77777777" w:rsidR="00133C77" w:rsidRPr="00133C77" w:rsidRDefault="00133C77" w:rsidP="009E5AA9">
            <w:pPr>
              <w:rPr>
                <w:rFonts w:ascii="Times New Roman" w:hAnsi="Times New Roman"/>
                <w:b/>
                <w:bCs/>
                <w:sz w:val="24"/>
                <w:szCs w:val="24"/>
              </w:rPr>
            </w:pPr>
            <w:r w:rsidRPr="00133C77">
              <w:rPr>
                <w:rFonts w:ascii="Times New Roman" w:hAnsi="Times New Roman"/>
                <w:b/>
                <w:bCs/>
                <w:sz w:val="24"/>
                <w:szCs w:val="24"/>
              </w:rPr>
              <w:t>Home Services</w:t>
            </w:r>
          </w:p>
        </w:tc>
        <w:tc>
          <w:tcPr>
            <w:tcW w:w="3650" w:type="dxa"/>
            <w:shd w:val="clear" w:color="auto" w:fill="E5DFEC" w:themeFill="accent4" w:themeFillTint="33"/>
            <w:vAlign w:val="center"/>
          </w:tcPr>
          <w:p w14:paraId="5AD297A6"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New/Established Patient Care</w:t>
            </w:r>
          </w:p>
        </w:tc>
        <w:tc>
          <w:tcPr>
            <w:tcW w:w="2840" w:type="dxa"/>
            <w:shd w:val="clear" w:color="auto" w:fill="E5DFEC" w:themeFill="accent4" w:themeFillTint="33"/>
            <w:vAlign w:val="center"/>
          </w:tcPr>
          <w:p w14:paraId="5C10A806"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99341 – 99350</w:t>
            </w:r>
          </w:p>
        </w:tc>
      </w:tr>
      <w:tr w:rsidR="00133C77" w:rsidRPr="00F13690" w14:paraId="4F0D10C2" w14:textId="77777777" w:rsidTr="009E5AA9">
        <w:trPr>
          <w:cnfStyle w:val="000000100000" w:firstRow="0" w:lastRow="0" w:firstColumn="0" w:lastColumn="0" w:oddVBand="0" w:evenVBand="0" w:oddHBand="1" w:evenHBand="0" w:firstRowFirstColumn="0" w:firstRowLastColumn="0" w:lastRowFirstColumn="0" w:lastRowLastColumn="0"/>
          <w:trHeight w:val="515"/>
        </w:trPr>
        <w:tc>
          <w:tcPr>
            <w:tcW w:w="1715" w:type="dxa"/>
            <w:shd w:val="clear" w:color="auto" w:fill="auto"/>
            <w:vAlign w:val="center"/>
          </w:tcPr>
          <w:p w14:paraId="69E1345F" w14:textId="77777777" w:rsidR="00133C77" w:rsidRPr="00133C77" w:rsidRDefault="00133C77" w:rsidP="009E5AA9">
            <w:pPr>
              <w:rPr>
                <w:rFonts w:ascii="Times New Roman" w:hAnsi="Times New Roman"/>
                <w:b/>
                <w:bCs/>
                <w:sz w:val="24"/>
                <w:szCs w:val="24"/>
              </w:rPr>
            </w:pPr>
            <w:r w:rsidRPr="00133C77">
              <w:rPr>
                <w:rFonts w:ascii="Times New Roman" w:hAnsi="Times New Roman"/>
                <w:b/>
                <w:bCs/>
                <w:sz w:val="24"/>
                <w:szCs w:val="24"/>
              </w:rPr>
              <w:t>Domiciliary/ Rest Home/ Custodial Care</w:t>
            </w:r>
          </w:p>
        </w:tc>
        <w:tc>
          <w:tcPr>
            <w:tcW w:w="3650" w:type="dxa"/>
            <w:shd w:val="clear" w:color="auto" w:fill="auto"/>
            <w:vAlign w:val="center"/>
          </w:tcPr>
          <w:p w14:paraId="7FA3006B"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New/Established Patient Care</w:t>
            </w:r>
          </w:p>
        </w:tc>
        <w:tc>
          <w:tcPr>
            <w:tcW w:w="2840" w:type="dxa"/>
            <w:shd w:val="clear" w:color="auto" w:fill="auto"/>
            <w:vAlign w:val="center"/>
          </w:tcPr>
          <w:p w14:paraId="2B53F5E5" w14:textId="77777777" w:rsidR="00133C77" w:rsidRPr="00133C77" w:rsidRDefault="00133C77" w:rsidP="009E5AA9">
            <w:pPr>
              <w:rPr>
                <w:rFonts w:ascii="Times New Roman" w:hAnsi="Times New Roman"/>
                <w:sz w:val="24"/>
                <w:szCs w:val="24"/>
              </w:rPr>
            </w:pPr>
            <w:r w:rsidRPr="00133C77">
              <w:rPr>
                <w:rFonts w:ascii="Times New Roman" w:hAnsi="Times New Roman"/>
                <w:sz w:val="24"/>
                <w:szCs w:val="24"/>
              </w:rPr>
              <w:t>99324 – 99328, 99334 – 99337</w:t>
            </w:r>
          </w:p>
        </w:tc>
      </w:tr>
    </w:tbl>
    <w:p w14:paraId="39C9936A" w14:textId="77777777" w:rsidR="00844735" w:rsidRPr="00F13690" w:rsidRDefault="00844735" w:rsidP="00844735">
      <w:pPr>
        <w:rPr>
          <w:sz w:val="24"/>
          <w:szCs w:val="24"/>
        </w:rPr>
      </w:pPr>
    </w:p>
    <w:p w14:paraId="052929A5" w14:textId="77777777" w:rsidR="00844735" w:rsidRPr="00F13690" w:rsidRDefault="00844735" w:rsidP="00844735">
      <w:pPr>
        <w:rPr>
          <w:sz w:val="24"/>
          <w:szCs w:val="24"/>
        </w:rPr>
      </w:pPr>
    </w:p>
    <w:p w14:paraId="172F5425" w14:textId="77777777" w:rsidR="00844735" w:rsidRPr="00F13690" w:rsidRDefault="00844735" w:rsidP="00844735">
      <w:pPr>
        <w:rPr>
          <w:sz w:val="24"/>
          <w:szCs w:val="24"/>
        </w:rPr>
      </w:pPr>
    </w:p>
    <w:p w14:paraId="7D73ACFE" w14:textId="77777777" w:rsidR="0085154A" w:rsidRDefault="0085154A" w:rsidP="00844735">
      <w:pPr>
        <w:rPr>
          <w:rFonts w:ascii="Times New Roman" w:hAnsi="Times New Roman"/>
          <w:b/>
          <w:sz w:val="24"/>
          <w:szCs w:val="24"/>
        </w:rPr>
      </w:pPr>
    </w:p>
    <w:p w14:paraId="568776F4" w14:textId="77777777" w:rsidR="00133C77" w:rsidRDefault="00133C77" w:rsidP="00844735">
      <w:pPr>
        <w:rPr>
          <w:rFonts w:ascii="Times New Roman" w:hAnsi="Times New Roman"/>
          <w:b/>
          <w:sz w:val="24"/>
          <w:szCs w:val="24"/>
        </w:rPr>
      </w:pPr>
    </w:p>
    <w:p w14:paraId="4F1A3EEA" w14:textId="7E3BDD03" w:rsidR="00133C77" w:rsidRDefault="00133C77" w:rsidP="00844735">
      <w:pPr>
        <w:rPr>
          <w:rFonts w:ascii="Times New Roman" w:hAnsi="Times New Roman"/>
          <w:b/>
          <w:sz w:val="24"/>
          <w:szCs w:val="24"/>
        </w:rPr>
      </w:pPr>
    </w:p>
    <w:p w14:paraId="599AB3E6" w14:textId="1EF4697B" w:rsidR="00133C77" w:rsidRDefault="00133C77" w:rsidP="00844735">
      <w:pPr>
        <w:rPr>
          <w:rFonts w:ascii="Times New Roman" w:hAnsi="Times New Roman"/>
          <w:b/>
          <w:sz w:val="24"/>
          <w:szCs w:val="24"/>
        </w:rPr>
      </w:pPr>
    </w:p>
    <w:p w14:paraId="217F4EE1" w14:textId="2C01D43F" w:rsidR="00133C77" w:rsidRDefault="00133C77" w:rsidP="00844735">
      <w:pPr>
        <w:rPr>
          <w:rFonts w:ascii="Times New Roman" w:hAnsi="Times New Roman"/>
          <w:b/>
          <w:sz w:val="24"/>
          <w:szCs w:val="24"/>
        </w:rPr>
      </w:pPr>
    </w:p>
    <w:p w14:paraId="5D384BCD" w14:textId="53C0EC49" w:rsidR="00133C77" w:rsidRDefault="00133C77" w:rsidP="00844735">
      <w:pPr>
        <w:rPr>
          <w:rFonts w:ascii="Times New Roman" w:hAnsi="Times New Roman"/>
          <w:b/>
          <w:sz w:val="24"/>
          <w:szCs w:val="24"/>
        </w:rPr>
      </w:pPr>
    </w:p>
    <w:p w14:paraId="2B358D2E" w14:textId="4075DD53" w:rsidR="00133C77" w:rsidRDefault="00133C77" w:rsidP="00844735">
      <w:pPr>
        <w:rPr>
          <w:rFonts w:ascii="Times New Roman" w:hAnsi="Times New Roman"/>
          <w:b/>
          <w:sz w:val="24"/>
          <w:szCs w:val="24"/>
        </w:rPr>
      </w:pPr>
    </w:p>
    <w:p w14:paraId="04B89B2A" w14:textId="39253DD9" w:rsidR="00133C77" w:rsidRDefault="00133C77" w:rsidP="00844735">
      <w:pPr>
        <w:rPr>
          <w:rFonts w:ascii="Times New Roman" w:hAnsi="Times New Roman"/>
          <w:b/>
          <w:sz w:val="24"/>
          <w:szCs w:val="24"/>
        </w:rPr>
      </w:pPr>
    </w:p>
    <w:p w14:paraId="64C29262" w14:textId="77777777" w:rsidR="00133C77" w:rsidRDefault="00133C77" w:rsidP="00844735">
      <w:pPr>
        <w:rPr>
          <w:rFonts w:ascii="Times New Roman" w:hAnsi="Times New Roman"/>
          <w:b/>
          <w:sz w:val="24"/>
          <w:szCs w:val="24"/>
        </w:rPr>
      </w:pPr>
    </w:p>
    <w:p w14:paraId="05E7F445" w14:textId="25EB4DF4" w:rsidR="00844735" w:rsidRPr="0085154A" w:rsidRDefault="00844735" w:rsidP="00844735">
      <w:pPr>
        <w:rPr>
          <w:rFonts w:ascii="Times New Roman" w:hAnsi="Times New Roman"/>
          <w:sz w:val="24"/>
          <w:szCs w:val="24"/>
        </w:rPr>
      </w:pPr>
      <w:r w:rsidRPr="0085154A">
        <w:rPr>
          <w:rFonts w:ascii="Times New Roman" w:hAnsi="Times New Roman"/>
          <w:b/>
          <w:sz w:val="24"/>
          <w:szCs w:val="24"/>
        </w:rPr>
        <w:t>Denominator:</w:t>
      </w:r>
      <w:r w:rsidRPr="0085154A">
        <w:rPr>
          <w:rFonts w:ascii="Times New Roman" w:hAnsi="Times New Roman"/>
          <w:sz w:val="24"/>
          <w:szCs w:val="24"/>
        </w:rPr>
        <w:t xml:space="preserve"> </w:t>
      </w:r>
      <w:r w:rsidR="004804B3">
        <w:rPr>
          <w:rFonts w:ascii="Times New Roman" w:hAnsi="Times New Roman"/>
          <w:sz w:val="24"/>
          <w:szCs w:val="24"/>
        </w:rPr>
        <w:t>Total</w:t>
      </w:r>
      <w:r w:rsidRPr="0085154A">
        <w:rPr>
          <w:rFonts w:ascii="Times New Roman" w:hAnsi="Times New Roman"/>
          <w:sz w:val="24"/>
          <w:szCs w:val="24"/>
        </w:rPr>
        <w:t xml:space="preserve"> ACO expenditures by payer. </w:t>
      </w:r>
    </w:p>
    <w:p w14:paraId="52B6A5F0" w14:textId="184BDFE9" w:rsidR="001E7635" w:rsidRPr="004804B3" w:rsidRDefault="00844735" w:rsidP="004804B3">
      <w:pPr>
        <w:pStyle w:val="Heading2"/>
      </w:pPr>
      <w:r w:rsidRPr="004804B3">
        <w:t>Section 2. Non-Claims-Based Spending</w:t>
      </w:r>
    </w:p>
    <w:p w14:paraId="64F03DFF" w14:textId="77777777" w:rsidR="004804B3" w:rsidRDefault="004804B3" w:rsidP="004804B3">
      <w:pPr>
        <w:spacing w:after="0"/>
        <w:rPr>
          <w:rFonts w:ascii="Times New Roman" w:hAnsi="Times New Roman"/>
          <w:b/>
          <w:sz w:val="24"/>
          <w:szCs w:val="24"/>
        </w:rPr>
      </w:pPr>
    </w:p>
    <w:p w14:paraId="3B6FA4D6" w14:textId="19EB6B87" w:rsidR="00844735" w:rsidRPr="0085154A" w:rsidRDefault="00844735" w:rsidP="004804B3">
      <w:pPr>
        <w:rPr>
          <w:rFonts w:ascii="Times New Roman" w:hAnsi="Times New Roman"/>
          <w:sz w:val="24"/>
          <w:szCs w:val="24"/>
        </w:rPr>
      </w:pPr>
      <w:r w:rsidRPr="0085154A">
        <w:rPr>
          <w:rFonts w:ascii="Times New Roman" w:hAnsi="Times New Roman"/>
          <w:b/>
          <w:sz w:val="24"/>
          <w:szCs w:val="24"/>
        </w:rPr>
        <w:t xml:space="preserve">Numerator: </w:t>
      </w:r>
      <w:r w:rsidRPr="0085154A">
        <w:rPr>
          <w:rFonts w:ascii="Times New Roman" w:hAnsi="Times New Roman"/>
          <w:sz w:val="24"/>
          <w:szCs w:val="24"/>
        </w:rPr>
        <w:t>payments to primary care providers and practices within the ACO</w:t>
      </w:r>
      <w:r w:rsidR="004804B3">
        <w:rPr>
          <w:rFonts w:ascii="Times New Roman" w:hAnsi="Times New Roman"/>
          <w:sz w:val="24"/>
          <w:szCs w:val="24"/>
        </w:rPr>
        <w:t>, by payer</w:t>
      </w:r>
      <w:r w:rsidRPr="0085154A">
        <w:rPr>
          <w:rFonts w:ascii="Times New Roman" w:hAnsi="Times New Roman"/>
          <w:sz w:val="24"/>
          <w:szCs w:val="24"/>
        </w:rPr>
        <w:t>, including:</w:t>
      </w:r>
    </w:p>
    <w:p w14:paraId="45137EE8" w14:textId="77777777" w:rsidR="00844735" w:rsidRPr="0085154A" w:rsidRDefault="00844735" w:rsidP="004804B3">
      <w:pPr>
        <w:numPr>
          <w:ilvl w:val="0"/>
          <w:numId w:val="16"/>
        </w:numPr>
        <w:spacing w:line="259" w:lineRule="auto"/>
        <w:contextualSpacing/>
        <w:rPr>
          <w:rFonts w:ascii="Times New Roman" w:hAnsi="Times New Roman"/>
          <w:sz w:val="24"/>
          <w:szCs w:val="24"/>
        </w:rPr>
      </w:pPr>
      <w:bookmarkStart w:id="14" w:name="_Hlk514405957"/>
      <w:r w:rsidRPr="0085154A">
        <w:rPr>
          <w:rFonts w:ascii="Times New Roman" w:hAnsi="Times New Roman"/>
          <w:sz w:val="24"/>
          <w:szCs w:val="24"/>
        </w:rPr>
        <w:t xml:space="preserve">Capitation payments </w:t>
      </w:r>
    </w:p>
    <w:p w14:paraId="17F869F8"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for PCMH recognition (ex. percent of extended Blueprint funding to PCMH practices)</w:t>
      </w:r>
    </w:p>
    <w:p w14:paraId="300600D9"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to reward achievement of quality or cost-savings goals (ex. percent of VBIF allocated to primary care)</w:t>
      </w:r>
    </w:p>
    <w:p w14:paraId="715B4FAF"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aimed at developing capacity to improve care for a defined population of patients, such as patients with chronic conditions (ex: pilot program for comprehensive payment to primary care practices)</w:t>
      </w:r>
    </w:p>
    <w:p w14:paraId="570CD805"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 xml:space="preserve">Payments to help providers adopt HIT </w:t>
      </w:r>
    </w:p>
    <w:p w14:paraId="22C823F1"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or expenses for supplemental staff or activities, such as practice coaches, patient educators, patient navigators or nurse care managers (ex. percent of Care Coordination Model)</w:t>
      </w:r>
    </w:p>
    <w:p w14:paraId="73178C25"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Complex Care Coordination Program</w:t>
      </w:r>
    </w:p>
    <w:p w14:paraId="69685F1A" w14:textId="07A7F8D5" w:rsidR="00844735"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for CHT</w:t>
      </w:r>
    </w:p>
    <w:p w14:paraId="77C89D12" w14:textId="77777777" w:rsidR="004804B3" w:rsidRPr="004804B3" w:rsidRDefault="004804B3" w:rsidP="004804B3">
      <w:pPr>
        <w:numPr>
          <w:ilvl w:val="0"/>
          <w:numId w:val="16"/>
        </w:numPr>
        <w:spacing w:after="160" w:line="259" w:lineRule="auto"/>
        <w:contextualSpacing/>
        <w:rPr>
          <w:rFonts w:ascii="Times New Roman" w:hAnsi="Times New Roman"/>
          <w:sz w:val="24"/>
        </w:rPr>
      </w:pPr>
      <w:bookmarkStart w:id="15" w:name="_Hlk516227875"/>
      <w:r w:rsidRPr="004804B3">
        <w:rPr>
          <w:rFonts w:ascii="Times New Roman" w:hAnsi="Times New Roman"/>
          <w:sz w:val="24"/>
        </w:rPr>
        <w:t xml:space="preserve">Process improvement/other quality management activities </w:t>
      </w:r>
      <w:bookmarkEnd w:id="15"/>
    </w:p>
    <w:p w14:paraId="663EB944" w14:textId="77777777" w:rsidR="004804B3" w:rsidRPr="004804B3" w:rsidRDefault="004804B3" w:rsidP="004804B3">
      <w:pPr>
        <w:numPr>
          <w:ilvl w:val="0"/>
          <w:numId w:val="16"/>
        </w:numPr>
        <w:spacing w:after="160" w:line="259" w:lineRule="auto"/>
        <w:contextualSpacing/>
        <w:rPr>
          <w:rFonts w:ascii="Times New Roman" w:hAnsi="Times New Roman"/>
          <w:sz w:val="24"/>
        </w:rPr>
      </w:pPr>
      <w:r w:rsidRPr="004804B3">
        <w:rPr>
          <w:rFonts w:ascii="Times New Roman" w:hAnsi="Times New Roman"/>
          <w:sz w:val="24"/>
        </w:rPr>
        <w:t>Recruitment and retention incentive payments for primary care providers within the ACO network</w:t>
      </w:r>
    </w:p>
    <w:p w14:paraId="5201BF2C" w14:textId="0F565E1E" w:rsidR="004804B3" w:rsidRPr="004804B3" w:rsidRDefault="004804B3" w:rsidP="004804B3">
      <w:pPr>
        <w:numPr>
          <w:ilvl w:val="0"/>
          <w:numId w:val="16"/>
        </w:numPr>
        <w:spacing w:after="160" w:line="259" w:lineRule="auto"/>
        <w:contextualSpacing/>
        <w:rPr>
          <w:rFonts w:ascii="Times New Roman" w:hAnsi="Times New Roman"/>
          <w:sz w:val="24"/>
          <w:szCs w:val="24"/>
        </w:rPr>
      </w:pPr>
      <w:r w:rsidRPr="004804B3">
        <w:rPr>
          <w:rFonts w:ascii="Times New Roman" w:hAnsi="Times New Roman"/>
          <w:sz w:val="24"/>
        </w:rPr>
        <w:t>Shared Savings payments to ACO network primary care providers</w:t>
      </w:r>
    </w:p>
    <w:bookmarkEnd w:id="14"/>
    <w:p w14:paraId="7787A7CA" w14:textId="77777777" w:rsidR="0085154A" w:rsidRDefault="0085154A" w:rsidP="00844735">
      <w:pPr>
        <w:rPr>
          <w:rFonts w:ascii="Times New Roman" w:hAnsi="Times New Roman"/>
          <w:b/>
          <w:sz w:val="24"/>
          <w:szCs w:val="24"/>
        </w:rPr>
      </w:pPr>
    </w:p>
    <w:p w14:paraId="1F1576C3" w14:textId="3CFEE6DC" w:rsidR="00844735" w:rsidRPr="0085154A" w:rsidRDefault="00844735" w:rsidP="00844735">
      <w:pPr>
        <w:rPr>
          <w:rFonts w:ascii="Times New Roman" w:hAnsi="Times New Roman"/>
          <w:sz w:val="24"/>
          <w:szCs w:val="24"/>
        </w:rPr>
      </w:pPr>
      <w:r w:rsidRPr="0085154A">
        <w:rPr>
          <w:rFonts w:ascii="Times New Roman" w:hAnsi="Times New Roman"/>
          <w:b/>
          <w:sz w:val="24"/>
          <w:szCs w:val="24"/>
        </w:rPr>
        <w:t xml:space="preserve">Denominator: </w:t>
      </w:r>
      <w:r w:rsidRPr="0085154A">
        <w:rPr>
          <w:rFonts w:ascii="Times New Roman" w:hAnsi="Times New Roman"/>
          <w:sz w:val="24"/>
          <w:szCs w:val="24"/>
        </w:rPr>
        <w:t>payments to all ACO providers and practices</w:t>
      </w:r>
      <w:r w:rsidR="004804B3">
        <w:rPr>
          <w:rFonts w:ascii="Times New Roman" w:hAnsi="Times New Roman"/>
          <w:sz w:val="24"/>
          <w:szCs w:val="24"/>
        </w:rPr>
        <w:t xml:space="preserve">, by payer, </w:t>
      </w:r>
      <w:r w:rsidRPr="0085154A">
        <w:rPr>
          <w:rFonts w:ascii="Times New Roman" w:hAnsi="Times New Roman"/>
          <w:sz w:val="24"/>
          <w:szCs w:val="24"/>
        </w:rPr>
        <w:t xml:space="preserve">including: </w:t>
      </w:r>
    </w:p>
    <w:p w14:paraId="1579DC9A"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 xml:space="preserve">Capitation payments </w:t>
      </w:r>
    </w:p>
    <w:p w14:paraId="7F10B78A"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 xml:space="preserve">Payments for PCMH recognition </w:t>
      </w:r>
    </w:p>
    <w:p w14:paraId="3F5E20CB"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to reward achievement of quality or cost-savings goals (ex. VBIF)</w:t>
      </w:r>
    </w:p>
    <w:p w14:paraId="191CE8BC"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 xml:space="preserve">Payments aimed at developing capacity to improve care for a defined population of patients, such as patients with chronic conditions </w:t>
      </w:r>
    </w:p>
    <w:p w14:paraId="051937BC"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 xml:space="preserve">Payments to help providers adopt HIT </w:t>
      </w:r>
    </w:p>
    <w:p w14:paraId="337BED0E"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or expenses for supplemental staff or activities, such as practice coaches, patient educators, patient navigators or nurse care managers (ex. Care Coordination Model)</w:t>
      </w:r>
    </w:p>
    <w:p w14:paraId="3442100C" w14:textId="77777777" w:rsidR="00844735" w:rsidRPr="0085154A"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Complex Care Coordination Program</w:t>
      </w:r>
    </w:p>
    <w:p w14:paraId="656E6DA8" w14:textId="541BAD51" w:rsidR="00844735" w:rsidRDefault="00844735" w:rsidP="004804B3">
      <w:pPr>
        <w:numPr>
          <w:ilvl w:val="0"/>
          <w:numId w:val="16"/>
        </w:numPr>
        <w:spacing w:after="160" w:line="259" w:lineRule="auto"/>
        <w:contextualSpacing/>
        <w:rPr>
          <w:rFonts w:ascii="Times New Roman" w:hAnsi="Times New Roman"/>
          <w:sz w:val="24"/>
          <w:szCs w:val="24"/>
        </w:rPr>
      </w:pPr>
      <w:r w:rsidRPr="0085154A">
        <w:rPr>
          <w:rFonts w:ascii="Times New Roman" w:hAnsi="Times New Roman"/>
          <w:sz w:val="24"/>
          <w:szCs w:val="24"/>
        </w:rPr>
        <w:t>Payments for CHT</w:t>
      </w:r>
    </w:p>
    <w:p w14:paraId="36F2C06F" w14:textId="77777777" w:rsidR="004804B3" w:rsidRPr="004804B3" w:rsidRDefault="004804B3" w:rsidP="004804B3">
      <w:pPr>
        <w:numPr>
          <w:ilvl w:val="0"/>
          <w:numId w:val="16"/>
        </w:numPr>
        <w:spacing w:after="160" w:line="259" w:lineRule="auto"/>
        <w:contextualSpacing/>
        <w:rPr>
          <w:rFonts w:ascii="Times New Roman" w:hAnsi="Times New Roman"/>
          <w:sz w:val="24"/>
        </w:rPr>
      </w:pPr>
      <w:r w:rsidRPr="004804B3">
        <w:rPr>
          <w:rFonts w:ascii="Times New Roman" w:hAnsi="Times New Roman"/>
          <w:sz w:val="24"/>
        </w:rPr>
        <w:t xml:space="preserve">Process improvement/other quality management activities </w:t>
      </w:r>
    </w:p>
    <w:p w14:paraId="19CD2743" w14:textId="77777777" w:rsidR="004804B3" w:rsidRPr="004804B3" w:rsidRDefault="004804B3" w:rsidP="004804B3">
      <w:pPr>
        <w:numPr>
          <w:ilvl w:val="0"/>
          <w:numId w:val="16"/>
        </w:numPr>
        <w:spacing w:after="160" w:line="259" w:lineRule="auto"/>
        <w:contextualSpacing/>
        <w:rPr>
          <w:rFonts w:ascii="Times New Roman" w:hAnsi="Times New Roman"/>
          <w:sz w:val="24"/>
        </w:rPr>
      </w:pPr>
      <w:r w:rsidRPr="004804B3">
        <w:rPr>
          <w:rFonts w:ascii="Times New Roman" w:hAnsi="Times New Roman"/>
          <w:sz w:val="24"/>
        </w:rPr>
        <w:t>Recruitment and retention incentive payments for ACO network providers</w:t>
      </w:r>
    </w:p>
    <w:p w14:paraId="44D4E8C6" w14:textId="6E67ED02" w:rsidR="004804B3" w:rsidRPr="004804B3" w:rsidRDefault="004804B3" w:rsidP="004804B3">
      <w:pPr>
        <w:numPr>
          <w:ilvl w:val="0"/>
          <w:numId w:val="16"/>
        </w:numPr>
        <w:spacing w:after="160" w:line="259" w:lineRule="auto"/>
        <w:contextualSpacing/>
        <w:rPr>
          <w:rFonts w:ascii="Times New Roman" w:hAnsi="Times New Roman"/>
          <w:sz w:val="24"/>
          <w:szCs w:val="24"/>
        </w:rPr>
      </w:pPr>
      <w:r w:rsidRPr="004804B3">
        <w:rPr>
          <w:rFonts w:ascii="Times New Roman" w:hAnsi="Times New Roman"/>
          <w:sz w:val="24"/>
        </w:rPr>
        <w:t>Shared Savings payments to ACO network providers</w:t>
      </w:r>
    </w:p>
    <w:p w14:paraId="5871A2F1" w14:textId="77777777" w:rsidR="00844735" w:rsidRPr="0085154A" w:rsidRDefault="00844735" w:rsidP="00844735">
      <w:pPr>
        <w:ind w:left="720"/>
        <w:contextualSpacing/>
        <w:rPr>
          <w:rFonts w:ascii="Times New Roman" w:hAnsi="Times New Roman"/>
          <w:sz w:val="24"/>
          <w:szCs w:val="24"/>
        </w:rPr>
      </w:pPr>
    </w:p>
    <w:p w14:paraId="1A84DA62" w14:textId="77777777" w:rsidR="00844735" w:rsidRPr="0085154A" w:rsidRDefault="00844735" w:rsidP="00844735">
      <w:pPr>
        <w:ind w:left="720"/>
        <w:contextualSpacing/>
        <w:rPr>
          <w:rFonts w:ascii="Times New Roman" w:hAnsi="Times New Roman"/>
          <w:sz w:val="24"/>
          <w:szCs w:val="24"/>
        </w:rPr>
      </w:pPr>
    </w:p>
    <w:p w14:paraId="75BAAB7A" w14:textId="77777777" w:rsidR="00844735" w:rsidRPr="0085154A" w:rsidRDefault="00844735" w:rsidP="00844735">
      <w:pPr>
        <w:ind w:left="720"/>
        <w:contextualSpacing/>
        <w:rPr>
          <w:rFonts w:ascii="Times New Roman" w:hAnsi="Times New Roman"/>
          <w:sz w:val="24"/>
          <w:szCs w:val="24"/>
        </w:rPr>
      </w:pPr>
    </w:p>
    <w:p w14:paraId="15516B46" w14:textId="77777777" w:rsidR="00844735" w:rsidRPr="0085154A" w:rsidRDefault="00844735" w:rsidP="00844735">
      <w:pPr>
        <w:rPr>
          <w:rFonts w:ascii="Times New Roman" w:hAnsi="Times New Roman"/>
          <w:sz w:val="24"/>
          <w:szCs w:val="24"/>
        </w:rPr>
      </w:pPr>
    </w:p>
    <w:p w14:paraId="3EBAEAD6" w14:textId="77777777" w:rsidR="00844735" w:rsidRPr="0085154A" w:rsidRDefault="00844735" w:rsidP="00E02957">
      <w:pPr>
        <w:rPr>
          <w:rFonts w:ascii="Times New Roman" w:hAnsi="Times New Roman"/>
          <w:b/>
          <w:sz w:val="24"/>
          <w:szCs w:val="24"/>
        </w:rPr>
      </w:pPr>
    </w:p>
    <w:bookmarkEnd w:id="12"/>
    <w:p w14:paraId="5F4D3FE6" w14:textId="4086CCDE" w:rsidR="00D95541" w:rsidRPr="0085154A" w:rsidRDefault="00D95541" w:rsidP="00B01AB0">
      <w:pPr>
        <w:spacing w:after="0"/>
        <w:jc w:val="center"/>
        <w:rPr>
          <w:rFonts w:ascii="Times New Roman" w:hAnsi="Times New Roman"/>
          <w:color w:val="365F91" w:themeColor="accent1" w:themeShade="BF"/>
          <w:sz w:val="24"/>
          <w:szCs w:val="24"/>
        </w:rPr>
      </w:pPr>
    </w:p>
    <w:sectPr w:rsidR="00D95541" w:rsidRPr="0085154A" w:rsidSect="00A1530F">
      <w:headerReference w:type="even" r:id="rId10"/>
      <w:headerReference w:type="default" r:id="rId11"/>
      <w:footerReference w:type="default" r:id="rId12"/>
      <w:headerReference w:type="first" r:id="rId13"/>
      <w:footerReference w:type="first" r:id="rId14"/>
      <w:pgSz w:w="12240" w:h="15840"/>
      <w:pgMar w:top="1152" w:right="1008" w:bottom="288" w:left="1008"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48BF" w14:textId="77777777" w:rsidR="00527670" w:rsidRDefault="00527670" w:rsidP="007C3BD0">
      <w:pPr>
        <w:spacing w:after="0" w:line="240" w:lineRule="auto"/>
      </w:pPr>
      <w:r>
        <w:separator/>
      </w:r>
    </w:p>
    <w:p w14:paraId="40AE83DB" w14:textId="77777777" w:rsidR="00527670" w:rsidRDefault="00527670"/>
  </w:endnote>
  <w:endnote w:type="continuationSeparator" w:id="0">
    <w:p w14:paraId="1C6CD047" w14:textId="77777777" w:rsidR="00527670" w:rsidRDefault="00527670" w:rsidP="007C3BD0">
      <w:pPr>
        <w:spacing w:after="0" w:line="240" w:lineRule="auto"/>
      </w:pPr>
      <w:r>
        <w:continuationSeparator/>
      </w:r>
    </w:p>
    <w:p w14:paraId="157EE241" w14:textId="77777777" w:rsidR="00527670" w:rsidRDefault="00527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C927" w14:textId="5BC57411" w:rsidR="00014EEB" w:rsidRPr="00D143FC" w:rsidRDefault="00014EEB" w:rsidP="00014EEB">
    <w:pPr>
      <w:pStyle w:val="Footer"/>
      <w:jc w:val="right"/>
      <w:rPr>
        <w:rFonts w:ascii="Times New Roman" w:hAnsi="Times New Roman" w:cs="Times New Roman"/>
      </w:rPr>
    </w:pPr>
    <w:r w:rsidRPr="007A7012">
      <w:rPr>
        <w:rFonts w:ascii="Times New Roman" w:hAnsi="Times New Roman" w:cs="Times New Roman"/>
        <w:sz w:val="20"/>
        <w:szCs w:val="20"/>
      </w:rPr>
      <w:t xml:space="preserve">Green Mountain Care Board </w:t>
    </w:r>
    <w:r w:rsidR="00472888" w:rsidRPr="007A7012">
      <w:rPr>
        <w:rFonts w:ascii="Times New Roman" w:hAnsi="Times New Roman" w:cs="Times New Roman"/>
        <w:sz w:val="20"/>
        <w:szCs w:val="20"/>
      </w:rPr>
      <w:t>CY2</w:t>
    </w:r>
    <w:r w:rsidRPr="007A7012">
      <w:rPr>
        <w:rFonts w:ascii="Times New Roman" w:hAnsi="Times New Roman" w:cs="Times New Roman"/>
        <w:sz w:val="20"/>
        <w:szCs w:val="20"/>
      </w:rPr>
      <w:t>019 ACO Annual Reporting and Budget Guidance</w:t>
    </w:r>
    <w:r w:rsidRPr="00D143FC">
      <w:rPr>
        <w:rFonts w:ascii="Times New Roman" w:hAnsi="Times New Roman" w:cs="Times New Roman"/>
      </w:rPr>
      <w:t xml:space="preserve"> p.</w:t>
    </w:r>
    <w:sdt>
      <w:sdtPr>
        <w:rPr>
          <w:rFonts w:ascii="Times New Roman" w:hAnsi="Times New Roman" w:cs="Times New Roman"/>
        </w:rPr>
        <w:id w:val="-162549571"/>
        <w:docPartObj>
          <w:docPartGallery w:val="Page Numbers (Bottom of Page)"/>
          <w:docPartUnique/>
        </w:docPartObj>
      </w:sdtPr>
      <w:sdtEndPr>
        <w:rPr>
          <w:noProof/>
        </w:rPr>
      </w:sdtEndPr>
      <w:sdtContent>
        <w:r w:rsidRPr="00D143FC">
          <w:rPr>
            <w:rFonts w:ascii="Times New Roman" w:hAnsi="Times New Roman" w:cs="Times New Roman"/>
          </w:rPr>
          <w:fldChar w:fldCharType="begin"/>
        </w:r>
        <w:r w:rsidRPr="00D143FC">
          <w:rPr>
            <w:rFonts w:ascii="Times New Roman" w:hAnsi="Times New Roman" w:cs="Times New Roman"/>
          </w:rPr>
          <w:instrText xml:space="preserve"> PAGE   \* MERGEFORMAT </w:instrText>
        </w:r>
        <w:r w:rsidRPr="00D143FC">
          <w:rPr>
            <w:rFonts w:ascii="Times New Roman" w:hAnsi="Times New Roman" w:cs="Times New Roman"/>
          </w:rPr>
          <w:fldChar w:fldCharType="separate"/>
        </w:r>
        <w:r w:rsidRPr="00D143FC">
          <w:rPr>
            <w:rFonts w:ascii="Times New Roman" w:hAnsi="Times New Roman" w:cs="Times New Roman"/>
          </w:rPr>
          <w:t>10</w:t>
        </w:r>
        <w:r w:rsidRPr="00D143FC">
          <w:rPr>
            <w:rFonts w:ascii="Times New Roman" w:hAnsi="Times New Roman" w:cs="Times New Roman"/>
            <w:noProof/>
          </w:rPr>
          <w:fldChar w:fldCharType="end"/>
        </w:r>
      </w:sdtContent>
    </w:sdt>
  </w:p>
  <w:p w14:paraId="03BED489" w14:textId="005020BB" w:rsidR="00434730" w:rsidRDefault="004347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5524" w14:textId="77777777" w:rsidR="00B93E5F" w:rsidRDefault="00B93E5F" w:rsidP="00B93E5F">
    <w:pPr>
      <w:pStyle w:val="Footer"/>
    </w:pPr>
  </w:p>
  <w:p w14:paraId="0BA11608" w14:textId="77777777" w:rsidR="00B93E5F" w:rsidRDefault="00B93E5F" w:rsidP="00B93E5F">
    <w:pPr>
      <w:pStyle w:val="Footer"/>
    </w:pPr>
    <w:r>
      <w:rPr>
        <w:noProof/>
      </w:rPr>
      <w:drawing>
        <wp:anchor distT="0" distB="0" distL="114300" distR="114300" simplePos="0" relativeHeight="251668480" behindDoc="0" locked="0" layoutInCell="1" allowOverlap="1" wp14:anchorId="6B6C3DD6" wp14:editId="328D1A34">
          <wp:simplePos x="0" y="0"/>
          <wp:positionH relativeFrom="column">
            <wp:posOffset>5961380</wp:posOffset>
          </wp:positionH>
          <wp:positionV relativeFrom="paragraph">
            <wp:posOffset>53340</wp:posOffset>
          </wp:positionV>
          <wp:extent cx="324485" cy="369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369570"/>
                  </a:xfrm>
                  <a:prstGeom prst="rect">
                    <a:avLst/>
                  </a:prstGeom>
                  <a:noFill/>
                </pic:spPr>
              </pic:pic>
            </a:graphicData>
          </a:graphic>
          <wp14:sizeRelH relativeFrom="page">
            <wp14:pctWidth>0</wp14:pctWidth>
          </wp14:sizeRelH>
          <wp14:sizeRelV relativeFrom="page">
            <wp14:pctHeight>0</wp14:pctHeight>
          </wp14:sizeRelV>
        </wp:anchor>
      </w:drawing>
    </w:r>
  </w:p>
  <w:p w14:paraId="3DD6DD1D" w14:textId="77777777" w:rsidR="00B93E5F" w:rsidRDefault="00B93E5F">
    <w:pPr>
      <w:pStyle w:val="Footer"/>
    </w:pPr>
    <w:r>
      <w:rPr>
        <w:noProof/>
      </w:rPr>
      <mc:AlternateContent>
        <mc:Choice Requires="wps">
          <w:drawing>
            <wp:anchor distT="0" distB="0" distL="114300" distR="114300" simplePos="0" relativeHeight="251669504" behindDoc="0" locked="0" layoutInCell="1" allowOverlap="1" wp14:anchorId="6A330040" wp14:editId="419D7C67">
              <wp:simplePos x="0" y="0"/>
              <wp:positionH relativeFrom="column">
                <wp:posOffset>-168910</wp:posOffset>
              </wp:positionH>
              <wp:positionV relativeFrom="paragraph">
                <wp:posOffset>330835</wp:posOffset>
              </wp:positionV>
              <wp:extent cx="64535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6453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99F2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26.05pt" to="49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7B41" w14:textId="77777777" w:rsidR="00527670" w:rsidRDefault="00527670" w:rsidP="007C3BD0">
      <w:pPr>
        <w:spacing w:after="0" w:line="240" w:lineRule="auto"/>
      </w:pPr>
      <w:r>
        <w:separator/>
      </w:r>
    </w:p>
    <w:p w14:paraId="15C26C12" w14:textId="77777777" w:rsidR="00527670" w:rsidRDefault="00527670"/>
  </w:footnote>
  <w:footnote w:type="continuationSeparator" w:id="0">
    <w:p w14:paraId="6C0406EF" w14:textId="77777777" w:rsidR="00527670" w:rsidRDefault="00527670" w:rsidP="007C3BD0">
      <w:pPr>
        <w:spacing w:after="0" w:line="240" w:lineRule="auto"/>
      </w:pPr>
      <w:r>
        <w:continuationSeparator/>
      </w:r>
    </w:p>
    <w:p w14:paraId="718AEB8B" w14:textId="77777777" w:rsidR="00527670" w:rsidRDefault="00527670"/>
  </w:footnote>
  <w:footnote w:id="1">
    <w:p w14:paraId="51BA5D80" w14:textId="77777777" w:rsidR="0072452B" w:rsidRPr="00AC0AF5" w:rsidRDefault="0072452B">
      <w:pPr>
        <w:pStyle w:val="FootnoteText"/>
        <w:rPr>
          <w:rFonts w:ascii="Times New Roman" w:hAnsi="Times New Roman"/>
        </w:rPr>
      </w:pPr>
      <w:r w:rsidRPr="00AC0AF5">
        <w:rPr>
          <w:rStyle w:val="FootnoteReference"/>
          <w:rFonts w:ascii="Times New Roman" w:hAnsi="Times New Roman"/>
        </w:rPr>
        <w:footnoteRef/>
      </w:r>
      <w:r w:rsidRPr="00AC0AF5">
        <w:rPr>
          <w:rFonts w:ascii="Times New Roman" w:hAnsi="Times New Roman"/>
        </w:rPr>
        <w:t xml:space="preserve"> A “Scale Target ACO Initiative” is defined in section 6.b. of the Agreement. </w:t>
      </w:r>
    </w:p>
  </w:footnote>
  <w:footnote w:id="2">
    <w:p w14:paraId="7AA9834A" w14:textId="77777777" w:rsidR="00746CA3" w:rsidRDefault="00746CA3" w:rsidP="00746CA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Underneath the overall benchmark, separate benchmarks will be established for two Medicare fee-for-service populations, the End-Stage Renal Disease (ESRD) population and the Aged and Disabled (A/D or non-ESRD) population.</w:t>
      </w:r>
    </w:p>
  </w:footnote>
  <w:footnote w:id="3">
    <w:p w14:paraId="31633516" w14:textId="6AD38872" w:rsidR="00746CA3" w:rsidRDefault="00746CA3" w:rsidP="00746CA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This is so under section 8.b.ii.1.c.i because the Annual Projected National Medicare Total Cost of Care per Beneficiary Growth for Performance Year 1 of the APM Agreement (2018)</w:t>
      </w:r>
      <w:r w:rsidR="00B01AB0">
        <w:rPr>
          <w:rFonts w:ascii="Times New Roman" w:hAnsi="Times New Roman"/>
        </w:rPr>
        <w:t xml:space="preserve"> was less than 3.7 percent</w:t>
      </w:r>
      <w:r>
        <w:rPr>
          <w:rFonts w:ascii="Times New Roman" w:hAnsi="Times New Roman"/>
        </w:rPr>
        <w:t>.</w:t>
      </w:r>
    </w:p>
  </w:footnote>
  <w:footnote w:id="4">
    <w:p w14:paraId="45F85838" w14:textId="77777777" w:rsidR="00746CA3" w:rsidRDefault="00746CA3" w:rsidP="00746CA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https://www.cms.gov/Medicare/Health-Plans/MedicareAdvtgSpecRateStats/Downloads/Announcement2019.pdf</w:t>
      </w:r>
    </w:p>
  </w:footnote>
  <w:footnote w:id="5">
    <w:p w14:paraId="6518AEC1" w14:textId="77777777" w:rsidR="007204D5" w:rsidRDefault="007204D5" w:rsidP="00746CA3">
      <w:pPr>
        <w:pStyle w:val="FootnoteText"/>
      </w:pPr>
      <w:r>
        <w:rPr>
          <w:rStyle w:val="FootnoteReference"/>
          <w:rFonts w:ascii="Times New Roman" w:hAnsi="Times New Roman"/>
        </w:rPr>
        <w:footnoteRef/>
      </w:r>
      <w:r>
        <w:rPr>
          <w:rFonts w:ascii="Times New Roman" w:hAnsi="Times New Roman"/>
        </w:rPr>
        <w:t xml:space="preserve"> Using the Vermont proportion of 2017 ESRD beneficiaries, 0.360%.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1C93" w14:textId="01ABBCDD" w:rsidR="003F48B6" w:rsidRDefault="003F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E6CA" w14:textId="347909AE" w:rsidR="003F48B6" w:rsidRDefault="003F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0DC3" w14:textId="2F62F05C" w:rsidR="00B93E5F" w:rsidRPr="00011D48" w:rsidRDefault="00B93E5F" w:rsidP="009D6960">
    <w:pPr>
      <w:tabs>
        <w:tab w:val="left" w:pos="3600"/>
        <w:tab w:val="left" w:pos="4320"/>
        <w:tab w:val="right" w:pos="9810"/>
      </w:tabs>
      <w:spacing w:after="0" w:line="240" w:lineRule="auto"/>
      <w:rPr>
        <w:rFonts w:ascii="Georgia" w:hAnsi="Georgi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028"/>
    <w:multiLevelType w:val="hybridMultilevel"/>
    <w:tmpl w:val="A48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E2FAE"/>
    <w:multiLevelType w:val="hybridMultilevel"/>
    <w:tmpl w:val="B9F8E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63B09"/>
    <w:multiLevelType w:val="hybridMultilevel"/>
    <w:tmpl w:val="B9F8E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65C41"/>
    <w:multiLevelType w:val="hybridMultilevel"/>
    <w:tmpl w:val="2A26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59BD"/>
    <w:multiLevelType w:val="hybridMultilevel"/>
    <w:tmpl w:val="05C6C6EE"/>
    <w:lvl w:ilvl="0" w:tplc="217625EA">
      <w:start w:val="1"/>
      <w:numFmt w:val="lowerLetter"/>
      <w:lvlText w:val="%1."/>
      <w:lvlJc w:val="left"/>
      <w:pPr>
        <w:ind w:left="1440" w:hanging="360"/>
      </w:pPr>
      <w:rPr>
        <w:b w:val="0"/>
      </w:rPr>
    </w:lvl>
    <w:lvl w:ilvl="1" w:tplc="4524F5D8">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4309B"/>
    <w:multiLevelType w:val="hybridMultilevel"/>
    <w:tmpl w:val="C5D05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876994"/>
    <w:multiLevelType w:val="hybridMultilevel"/>
    <w:tmpl w:val="1DD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64F7"/>
    <w:multiLevelType w:val="hybridMultilevel"/>
    <w:tmpl w:val="3EF0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4A9C"/>
    <w:multiLevelType w:val="hybridMultilevel"/>
    <w:tmpl w:val="C342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8757F"/>
    <w:multiLevelType w:val="hybridMultilevel"/>
    <w:tmpl w:val="A8C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938B0"/>
    <w:multiLevelType w:val="hybridMultilevel"/>
    <w:tmpl w:val="0BEA9472"/>
    <w:lvl w:ilvl="0" w:tplc="823EF264">
      <w:start w:val="1"/>
      <w:numFmt w:val="decimal"/>
      <w:lvlText w:val="%1."/>
      <w:lvlJc w:val="left"/>
      <w:pPr>
        <w:ind w:left="360" w:hanging="360"/>
      </w:pPr>
      <w:rPr>
        <w:rFonts w:ascii="Bookman Old Style" w:hAnsi="Bookman Old Style"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F02192"/>
    <w:multiLevelType w:val="hybridMultilevel"/>
    <w:tmpl w:val="0FDA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41600"/>
    <w:multiLevelType w:val="hybridMultilevel"/>
    <w:tmpl w:val="62409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A7DD3"/>
    <w:multiLevelType w:val="hybridMultilevel"/>
    <w:tmpl w:val="C670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86A53"/>
    <w:multiLevelType w:val="hybridMultilevel"/>
    <w:tmpl w:val="AF1E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3656A"/>
    <w:multiLevelType w:val="hybridMultilevel"/>
    <w:tmpl w:val="A72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611D"/>
    <w:multiLevelType w:val="hybridMultilevel"/>
    <w:tmpl w:val="B88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209A3"/>
    <w:multiLevelType w:val="hybridMultilevel"/>
    <w:tmpl w:val="D8B88B60"/>
    <w:lvl w:ilvl="0" w:tplc="44143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30236"/>
    <w:multiLevelType w:val="hybridMultilevel"/>
    <w:tmpl w:val="F2A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18"/>
  </w:num>
  <w:num w:numId="5">
    <w:abstractNumId w:val="9"/>
  </w:num>
  <w:num w:numId="6">
    <w:abstractNumId w:val="3"/>
  </w:num>
  <w:num w:numId="7">
    <w:abstractNumId w:val="14"/>
  </w:num>
  <w:num w:numId="8">
    <w:abstractNumId w:val="8"/>
  </w:num>
  <w:num w:numId="9">
    <w:abstractNumId w:val="7"/>
  </w:num>
  <w:num w:numId="10">
    <w:abstractNumId w:val="17"/>
  </w:num>
  <w:num w:numId="11">
    <w:abstractNumId w:val="5"/>
  </w:num>
  <w:num w:numId="12">
    <w:abstractNumId w:val="4"/>
  </w:num>
  <w:num w:numId="13">
    <w:abstractNumId w:val="1"/>
  </w:num>
  <w:num w:numId="14">
    <w:abstractNumId w:val="2"/>
  </w:num>
  <w:num w:numId="15">
    <w:abstractNumId w:val="0"/>
  </w:num>
  <w:num w:numId="16">
    <w:abstractNumId w:val="15"/>
  </w:num>
  <w:num w:numId="17">
    <w:abstractNumId w:val="12"/>
  </w:num>
  <w:num w:numId="18">
    <w:abstractNumId w:val="13"/>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D0"/>
    <w:rsid w:val="000001E1"/>
    <w:rsid w:val="000017D0"/>
    <w:rsid w:val="0001010C"/>
    <w:rsid w:val="00010BAD"/>
    <w:rsid w:val="00011D48"/>
    <w:rsid w:val="00013840"/>
    <w:rsid w:val="00014237"/>
    <w:rsid w:val="000147E4"/>
    <w:rsid w:val="00014EEB"/>
    <w:rsid w:val="00015643"/>
    <w:rsid w:val="00026B59"/>
    <w:rsid w:val="000504F4"/>
    <w:rsid w:val="00052660"/>
    <w:rsid w:val="00056064"/>
    <w:rsid w:val="00057BEA"/>
    <w:rsid w:val="00062FDB"/>
    <w:rsid w:val="00067F5B"/>
    <w:rsid w:val="00067F89"/>
    <w:rsid w:val="00074283"/>
    <w:rsid w:val="00074D15"/>
    <w:rsid w:val="00076CF7"/>
    <w:rsid w:val="00082246"/>
    <w:rsid w:val="00082659"/>
    <w:rsid w:val="00084438"/>
    <w:rsid w:val="00090AE4"/>
    <w:rsid w:val="000958B1"/>
    <w:rsid w:val="00096F85"/>
    <w:rsid w:val="00097819"/>
    <w:rsid w:val="000A181A"/>
    <w:rsid w:val="000A5993"/>
    <w:rsid w:val="000B38BD"/>
    <w:rsid w:val="000B410D"/>
    <w:rsid w:val="000B7341"/>
    <w:rsid w:val="000C3AF8"/>
    <w:rsid w:val="000C5F6D"/>
    <w:rsid w:val="000D1310"/>
    <w:rsid w:val="000D7958"/>
    <w:rsid w:val="000E27F6"/>
    <w:rsid w:val="000E440B"/>
    <w:rsid w:val="000E71C7"/>
    <w:rsid w:val="000F135A"/>
    <w:rsid w:val="000F24C4"/>
    <w:rsid w:val="000F35BA"/>
    <w:rsid w:val="000F63B4"/>
    <w:rsid w:val="00100310"/>
    <w:rsid w:val="00104301"/>
    <w:rsid w:val="00105EEE"/>
    <w:rsid w:val="0011693C"/>
    <w:rsid w:val="00117D2E"/>
    <w:rsid w:val="001260E9"/>
    <w:rsid w:val="00130933"/>
    <w:rsid w:val="001339DA"/>
    <w:rsid w:val="00133C77"/>
    <w:rsid w:val="00135328"/>
    <w:rsid w:val="00136EF3"/>
    <w:rsid w:val="00154036"/>
    <w:rsid w:val="001570CA"/>
    <w:rsid w:val="00184792"/>
    <w:rsid w:val="00190540"/>
    <w:rsid w:val="001A06E2"/>
    <w:rsid w:val="001A10A5"/>
    <w:rsid w:val="001A6313"/>
    <w:rsid w:val="001A6CE4"/>
    <w:rsid w:val="001C72B3"/>
    <w:rsid w:val="001D5350"/>
    <w:rsid w:val="001E02DD"/>
    <w:rsid w:val="001E3F3F"/>
    <w:rsid w:val="001E55B0"/>
    <w:rsid w:val="001E7635"/>
    <w:rsid w:val="001F1369"/>
    <w:rsid w:val="001F35D4"/>
    <w:rsid w:val="001F4A3D"/>
    <w:rsid w:val="001F4FC4"/>
    <w:rsid w:val="001F5C3C"/>
    <w:rsid w:val="001F76D0"/>
    <w:rsid w:val="002012C4"/>
    <w:rsid w:val="00205329"/>
    <w:rsid w:val="0020574E"/>
    <w:rsid w:val="00206540"/>
    <w:rsid w:val="002107FA"/>
    <w:rsid w:val="0021241A"/>
    <w:rsid w:val="0022552C"/>
    <w:rsid w:val="00227898"/>
    <w:rsid w:val="002302D8"/>
    <w:rsid w:val="00240B1E"/>
    <w:rsid w:val="00244659"/>
    <w:rsid w:val="0025260F"/>
    <w:rsid w:val="002534B0"/>
    <w:rsid w:val="00253B42"/>
    <w:rsid w:val="00262746"/>
    <w:rsid w:val="00266B92"/>
    <w:rsid w:val="002730E7"/>
    <w:rsid w:val="0027481F"/>
    <w:rsid w:val="0028274D"/>
    <w:rsid w:val="0028298B"/>
    <w:rsid w:val="00286BF6"/>
    <w:rsid w:val="00293C2C"/>
    <w:rsid w:val="00295130"/>
    <w:rsid w:val="002A3DB9"/>
    <w:rsid w:val="002A752E"/>
    <w:rsid w:val="002B0B22"/>
    <w:rsid w:val="002B1A64"/>
    <w:rsid w:val="002B1C79"/>
    <w:rsid w:val="002B52BF"/>
    <w:rsid w:val="002B7671"/>
    <w:rsid w:val="002C1206"/>
    <w:rsid w:val="002C2796"/>
    <w:rsid w:val="002C7CAA"/>
    <w:rsid w:val="002D1B2A"/>
    <w:rsid w:val="002D2D7D"/>
    <w:rsid w:val="002E7799"/>
    <w:rsid w:val="002F2092"/>
    <w:rsid w:val="0030413E"/>
    <w:rsid w:val="00305E35"/>
    <w:rsid w:val="00316A9D"/>
    <w:rsid w:val="00320C9D"/>
    <w:rsid w:val="003237A5"/>
    <w:rsid w:val="003420F4"/>
    <w:rsid w:val="0035183A"/>
    <w:rsid w:val="003528B1"/>
    <w:rsid w:val="003556C3"/>
    <w:rsid w:val="00356670"/>
    <w:rsid w:val="00377849"/>
    <w:rsid w:val="00381D76"/>
    <w:rsid w:val="00383D84"/>
    <w:rsid w:val="003936BA"/>
    <w:rsid w:val="00395A53"/>
    <w:rsid w:val="00396AB5"/>
    <w:rsid w:val="003B1E34"/>
    <w:rsid w:val="003B2136"/>
    <w:rsid w:val="003B36A3"/>
    <w:rsid w:val="003C2F7A"/>
    <w:rsid w:val="003C34B7"/>
    <w:rsid w:val="003C64AC"/>
    <w:rsid w:val="003D54E0"/>
    <w:rsid w:val="003D6FD5"/>
    <w:rsid w:val="003E663B"/>
    <w:rsid w:val="003E7AEF"/>
    <w:rsid w:val="003F177F"/>
    <w:rsid w:val="003F48B6"/>
    <w:rsid w:val="003F6211"/>
    <w:rsid w:val="003F7943"/>
    <w:rsid w:val="003F7DCB"/>
    <w:rsid w:val="00403855"/>
    <w:rsid w:val="00411957"/>
    <w:rsid w:val="00416581"/>
    <w:rsid w:val="00423133"/>
    <w:rsid w:val="00423336"/>
    <w:rsid w:val="00427C7E"/>
    <w:rsid w:val="00432883"/>
    <w:rsid w:val="00434730"/>
    <w:rsid w:val="00435BB8"/>
    <w:rsid w:val="004372C3"/>
    <w:rsid w:val="00437380"/>
    <w:rsid w:val="004422BA"/>
    <w:rsid w:val="00442DDB"/>
    <w:rsid w:val="00443F42"/>
    <w:rsid w:val="00444341"/>
    <w:rsid w:val="00453EE0"/>
    <w:rsid w:val="00454A20"/>
    <w:rsid w:val="00457434"/>
    <w:rsid w:val="00457464"/>
    <w:rsid w:val="004673D8"/>
    <w:rsid w:val="00472888"/>
    <w:rsid w:val="004753C4"/>
    <w:rsid w:val="004804B3"/>
    <w:rsid w:val="00486737"/>
    <w:rsid w:val="00496AB1"/>
    <w:rsid w:val="004A0A4D"/>
    <w:rsid w:val="004A3BF7"/>
    <w:rsid w:val="004A4E8A"/>
    <w:rsid w:val="004A5A4F"/>
    <w:rsid w:val="004A5B65"/>
    <w:rsid w:val="004B08A5"/>
    <w:rsid w:val="004C31B8"/>
    <w:rsid w:val="004C75D4"/>
    <w:rsid w:val="004C7703"/>
    <w:rsid w:val="004D2CDD"/>
    <w:rsid w:val="004D5B43"/>
    <w:rsid w:val="004E4AE8"/>
    <w:rsid w:val="004E5BB2"/>
    <w:rsid w:val="004E7680"/>
    <w:rsid w:val="004E7C81"/>
    <w:rsid w:val="004F234A"/>
    <w:rsid w:val="004F5C72"/>
    <w:rsid w:val="004F7BA3"/>
    <w:rsid w:val="00511954"/>
    <w:rsid w:val="00512585"/>
    <w:rsid w:val="005127B2"/>
    <w:rsid w:val="00527670"/>
    <w:rsid w:val="00530125"/>
    <w:rsid w:val="0054426D"/>
    <w:rsid w:val="00551138"/>
    <w:rsid w:val="00564D07"/>
    <w:rsid w:val="00570C29"/>
    <w:rsid w:val="00575788"/>
    <w:rsid w:val="00575866"/>
    <w:rsid w:val="00581233"/>
    <w:rsid w:val="0058210C"/>
    <w:rsid w:val="005870C8"/>
    <w:rsid w:val="00590709"/>
    <w:rsid w:val="00593D50"/>
    <w:rsid w:val="00594A70"/>
    <w:rsid w:val="005B2BB5"/>
    <w:rsid w:val="005B3102"/>
    <w:rsid w:val="005B374C"/>
    <w:rsid w:val="005B4A3F"/>
    <w:rsid w:val="005C316A"/>
    <w:rsid w:val="005C387A"/>
    <w:rsid w:val="005C4B1C"/>
    <w:rsid w:val="005D05FF"/>
    <w:rsid w:val="005D718D"/>
    <w:rsid w:val="005E1AEA"/>
    <w:rsid w:val="005E3464"/>
    <w:rsid w:val="005F5E8F"/>
    <w:rsid w:val="005F7077"/>
    <w:rsid w:val="006000C8"/>
    <w:rsid w:val="006009C1"/>
    <w:rsid w:val="00602685"/>
    <w:rsid w:val="006121EB"/>
    <w:rsid w:val="00614CD2"/>
    <w:rsid w:val="00614F91"/>
    <w:rsid w:val="006200B8"/>
    <w:rsid w:val="00624871"/>
    <w:rsid w:val="00626343"/>
    <w:rsid w:val="0062721A"/>
    <w:rsid w:val="006303D0"/>
    <w:rsid w:val="00635667"/>
    <w:rsid w:val="006362E7"/>
    <w:rsid w:val="00641D78"/>
    <w:rsid w:val="00642A77"/>
    <w:rsid w:val="00644426"/>
    <w:rsid w:val="00660D61"/>
    <w:rsid w:val="00661FCD"/>
    <w:rsid w:val="00666BEE"/>
    <w:rsid w:val="00672A8B"/>
    <w:rsid w:val="006815AC"/>
    <w:rsid w:val="00684798"/>
    <w:rsid w:val="006873F1"/>
    <w:rsid w:val="00690481"/>
    <w:rsid w:val="00692908"/>
    <w:rsid w:val="006961FC"/>
    <w:rsid w:val="006A3D10"/>
    <w:rsid w:val="006A68DF"/>
    <w:rsid w:val="006B01DD"/>
    <w:rsid w:val="006B497C"/>
    <w:rsid w:val="006C1147"/>
    <w:rsid w:val="006C5D95"/>
    <w:rsid w:val="006D0D75"/>
    <w:rsid w:val="006D5882"/>
    <w:rsid w:val="0070074D"/>
    <w:rsid w:val="0070256C"/>
    <w:rsid w:val="00703419"/>
    <w:rsid w:val="00711DB8"/>
    <w:rsid w:val="007120F4"/>
    <w:rsid w:val="0071352C"/>
    <w:rsid w:val="00714365"/>
    <w:rsid w:val="007204D5"/>
    <w:rsid w:val="0072452B"/>
    <w:rsid w:val="007316B1"/>
    <w:rsid w:val="00733158"/>
    <w:rsid w:val="00733C76"/>
    <w:rsid w:val="00733F42"/>
    <w:rsid w:val="00741B07"/>
    <w:rsid w:val="00746CA3"/>
    <w:rsid w:val="00753565"/>
    <w:rsid w:val="0076378C"/>
    <w:rsid w:val="00774DA5"/>
    <w:rsid w:val="0078003A"/>
    <w:rsid w:val="00780167"/>
    <w:rsid w:val="007819D9"/>
    <w:rsid w:val="00781E4A"/>
    <w:rsid w:val="00795DB7"/>
    <w:rsid w:val="007A7012"/>
    <w:rsid w:val="007A741D"/>
    <w:rsid w:val="007B08F7"/>
    <w:rsid w:val="007B4414"/>
    <w:rsid w:val="007C0578"/>
    <w:rsid w:val="007C2415"/>
    <w:rsid w:val="007C3A47"/>
    <w:rsid w:val="007C3BD0"/>
    <w:rsid w:val="007D0A6B"/>
    <w:rsid w:val="007D29EA"/>
    <w:rsid w:val="007E5C8C"/>
    <w:rsid w:val="007E723B"/>
    <w:rsid w:val="00802DBA"/>
    <w:rsid w:val="00803BFA"/>
    <w:rsid w:val="008108D9"/>
    <w:rsid w:val="008234C7"/>
    <w:rsid w:val="00830FFD"/>
    <w:rsid w:val="008334BE"/>
    <w:rsid w:val="0084110E"/>
    <w:rsid w:val="00844735"/>
    <w:rsid w:val="008450DF"/>
    <w:rsid w:val="0085154A"/>
    <w:rsid w:val="00856B21"/>
    <w:rsid w:val="008612CC"/>
    <w:rsid w:val="008804B0"/>
    <w:rsid w:val="0089260A"/>
    <w:rsid w:val="00892A49"/>
    <w:rsid w:val="00895595"/>
    <w:rsid w:val="008B43A6"/>
    <w:rsid w:val="008B4FEB"/>
    <w:rsid w:val="008B70E3"/>
    <w:rsid w:val="008C256F"/>
    <w:rsid w:val="008C2763"/>
    <w:rsid w:val="008C61DE"/>
    <w:rsid w:val="008D02B4"/>
    <w:rsid w:val="008D16C6"/>
    <w:rsid w:val="008E2024"/>
    <w:rsid w:val="008E22AE"/>
    <w:rsid w:val="008E4CC0"/>
    <w:rsid w:val="008E6954"/>
    <w:rsid w:val="008F25EF"/>
    <w:rsid w:val="008F3CB1"/>
    <w:rsid w:val="008F5E0F"/>
    <w:rsid w:val="00905BFA"/>
    <w:rsid w:val="00906872"/>
    <w:rsid w:val="00906D47"/>
    <w:rsid w:val="00911DF3"/>
    <w:rsid w:val="00914401"/>
    <w:rsid w:val="00941CC9"/>
    <w:rsid w:val="0095072F"/>
    <w:rsid w:val="00951D0A"/>
    <w:rsid w:val="00955DDF"/>
    <w:rsid w:val="00956B97"/>
    <w:rsid w:val="00962EB0"/>
    <w:rsid w:val="00966457"/>
    <w:rsid w:val="00966FCA"/>
    <w:rsid w:val="00967088"/>
    <w:rsid w:val="009728A1"/>
    <w:rsid w:val="00972D6C"/>
    <w:rsid w:val="00973CFF"/>
    <w:rsid w:val="009763DA"/>
    <w:rsid w:val="00981CAC"/>
    <w:rsid w:val="00981CE3"/>
    <w:rsid w:val="00986E1B"/>
    <w:rsid w:val="009A27D6"/>
    <w:rsid w:val="009B6E67"/>
    <w:rsid w:val="009C0384"/>
    <w:rsid w:val="009C3AEE"/>
    <w:rsid w:val="009C606E"/>
    <w:rsid w:val="009D2458"/>
    <w:rsid w:val="009D6960"/>
    <w:rsid w:val="009D6F93"/>
    <w:rsid w:val="009D76A5"/>
    <w:rsid w:val="009E1F68"/>
    <w:rsid w:val="00A02194"/>
    <w:rsid w:val="00A1530F"/>
    <w:rsid w:val="00A174F7"/>
    <w:rsid w:val="00A22722"/>
    <w:rsid w:val="00A24AF0"/>
    <w:rsid w:val="00A262DA"/>
    <w:rsid w:val="00A33FC2"/>
    <w:rsid w:val="00A41F5D"/>
    <w:rsid w:val="00A43C24"/>
    <w:rsid w:val="00A4472F"/>
    <w:rsid w:val="00A4539C"/>
    <w:rsid w:val="00A46A2D"/>
    <w:rsid w:val="00A529F2"/>
    <w:rsid w:val="00A535BA"/>
    <w:rsid w:val="00A53AFA"/>
    <w:rsid w:val="00A54CD4"/>
    <w:rsid w:val="00A57808"/>
    <w:rsid w:val="00A6011C"/>
    <w:rsid w:val="00A636E3"/>
    <w:rsid w:val="00A64EBB"/>
    <w:rsid w:val="00A65CCB"/>
    <w:rsid w:val="00A66088"/>
    <w:rsid w:val="00A80733"/>
    <w:rsid w:val="00A8573E"/>
    <w:rsid w:val="00A85D26"/>
    <w:rsid w:val="00A92712"/>
    <w:rsid w:val="00A93957"/>
    <w:rsid w:val="00A94ADF"/>
    <w:rsid w:val="00AA3C0F"/>
    <w:rsid w:val="00AA4351"/>
    <w:rsid w:val="00AB2ECF"/>
    <w:rsid w:val="00AC0AF5"/>
    <w:rsid w:val="00AC4DA0"/>
    <w:rsid w:val="00AC5027"/>
    <w:rsid w:val="00AC6026"/>
    <w:rsid w:val="00AD0934"/>
    <w:rsid w:val="00AD71AC"/>
    <w:rsid w:val="00AE10D2"/>
    <w:rsid w:val="00AE2A16"/>
    <w:rsid w:val="00AE36C8"/>
    <w:rsid w:val="00AE55B4"/>
    <w:rsid w:val="00AF16B9"/>
    <w:rsid w:val="00AF5B3C"/>
    <w:rsid w:val="00B00E80"/>
    <w:rsid w:val="00B01284"/>
    <w:rsid w:val="00B01AB0"/>
    <w:rsid w:val="00B05AA8"/>
    <w:rsid w:val="00B0648C"/>
    <w:rsid w:val="00B07171"/>
    <w:rsid w:val="00B15271"/>
    <w:rsid w:val="00B15AC8"/>
    <w:rsid w:val="00B164C1"/>
    <w:rsid w:val="00B171F4"/>
    <w:rsid w:val="00B20217"/>
    <w:rsid w:val="00B20533"/>
    <w:rsid w:val="00B27471"/>
    <w:rsid w:val="00B27BA2"/>
    <w:rsid w:val="00B27DF4"/>
    <w:rsid w:val="00B3508C"/>
    <w:rsid w:val="00B43C08"/>
    <w:rsid w:val="00B44E28"/>
    <w:rsid w:val="00B47A46"/>
    <w:rsid w:val="00B51F7E"/>
    <w:rsid w:val="00B55BDD"/>
    <w:rsid w:val="00B63CE2"/>
    <w:rsid w:val="00B63F21"/>
    <w:rsid w:val="00B73DBC"/>
    <w:rsid w:val="00B745F8"/>
    <w:rsid w:val="00B7641B"/>
    <w:rsid w:val="00B801A8"/>
    <w:rsid w:val="00B93E5F"/>
    <w:rsid w:val="00B97D5F"/>
    <w:rsid w:val="00BA264F"/>
    <w:rsid w:val="00BB336B"/>
    <w:rsid w:val="00BB35A8"/>
    <w:rsid w:val="00BB535A"/>
    <w:rsid w:val="00BD0B2A"/>
    <w:rsid w:val="00BD2ED7"/>
    <w:rsid w:val="00BF1AB6"/>
    <w:rsid w:val="00BF69F0"/>
    <w:rsid w:val="00C0329E"/>
    <w:rsid w:val="00C03B09"/>
    <w:rsid w:val="00C06F0D"/>
    <w:rsid w:val="00C079DD"/>
    <w:rsid w:val="00C31AB8"/>
    <w:rsid w:val="00C31FEF"/>
    <w:rsid w:val="00C3640C"/>
    <w:rsid w:val="00C42438"/>
    <w:rsid w:val="00C44277"/>
    <w:rsid w:val="00C4745F"/>
    <w:rsid w:val="00C5183F"/>
    <w:rsid w:val="00C520ED"/>
    <w:rsid w:val="00C534F2"/>
    <w:rsid w:val="00C558C8"/>
    <w:rsid w:val="00C7461D"/>
    <w:rsid w:val="00C8070A"/>
    <w:rsid w:val="00C871F8"/>
    <w:rsid w:val="00C90260"/>
    <w:rsid w:val="00C905B4"/>
    <w:rsid w:val="00CA095E"/>
    <w:rsid w:val="00CA2534"/>
    <w:rsid w:val="00CC2E26"/>
    <w:rsid w:val="00CD6F1D"/>
    <w:rsid w:val="00CE0DD3"/>
    <w:rsid w:val="00CE1C5F"/>
    <w:rsid w:val="00CE28E1"/>
    <w:rsid w:val="00CF358C"/>
    <w:rsid w:val="00CF7E29"/>
    <w:rsid w:val="00D0024C"/>
    <w:rsid w:val="00D0285D"/>
    <w:rsid w:val="00D036E1"/>
    <w:rsid w:val="00D04186"/>
    <w:rsid w:val="00D06235"/>
    <w:rsid w:val="00D068B3"/>
    <w:rsid w:val="00D10DD9"/>
    <w:rsid w:val="00D11F94"/>
    <w:rsid w:val="00D143FC"/>
    <w:rsid w:val="00D2090D"/>
    <w:rsid w:val="00D23351"/>
    <w:rsid w:val="00D344AE"/>
    <w:rsid w:val="00D347BF"/>
    <w:rsid w:val="00D37DF2"/>
    <w:rsid w:val="00D43CB5"/>
    <w:rsid w:val="00D45090"/>
    <w:rsid w:val="00D5227B"/>
    <w:rsid w:val="00D5318B"/>
    <w:rsid w:val="00D6220B"/>
    <w:rsid w:val="00D73455"/>
    <w:rsid w:val="00D77232"/>
    <w:rsid w:val="00D853CE"/>
    <w:rsid w:val="00D87EEB"/>
    <w:rsid w:val="00D95541"/>
    <w:rsid w:val="00DA4FE4"/>
    <w:rsid w:val="00DB081D"/>
    <w:rsid w:val="00DB1350"/>
    <w:rsid w:val="00DB60AA"/>
    <w:rsid w:val="00DC1AFA"/>
    <w:rsid w:val="00DC20C1"/>
    <w:rsid w:val="00DC3E26"/>
    <w:rsid w:val="00DD2B94"/>
    <w:rsid w:val="00DE6EDC"/>
    <w:rsid w:val="00DF0DBA"/>
    <w:rsid w:val="00E02957"/>
    <w:rsid w:val="00E1781B"/>
    <w:rsid w:val="00E20A1F"/>
    <w:rsid w:val="00E26EB2"/>
    <w:rsid w:val="00E272A0"/>
    <w:rsid w:val="00E30D41"/>
    <w:rsid w:val="00E3410F"/>
    <w:rsid w:val="00E37E13"/>
    <w:rsid w:val="00E41048"/>
    <w:rsid w:val="00E432B4"/>
    <w:rsid w:val="00E50140"/>
    <w:rsid w:val="00E6013B"/>
    <w:rsid w:val="00E6614F"/>
    <w:rsid w:val="00E73DCF"/>
    <w:rsid w:val="00E76C0A"/>
    <w:rsid w:val="00E807FA"/>
    <w:rsid w:val="00E8333B"/>
    <w:rsid w:val="00E86707"/>
    <w:rsid w:val="00E921D4"/>
    <w:rsid w:val="00E92682"/>
    <w:rsid w:val="00E929A2"/>
    <w:rsid w:val="00E95009"/>
    <w:rsid w:val="00EA337E"/>
    <w:rsid w:val="00EA3A80"/>
    <w:rsid w:val="00EA47C4"/>
    <w:rsid w:val="00EA7E1B"/>
    <w:rsid w:val="00EB1121"/>
    <w:rsid w:val="00EB5D87"/>
    <w:rsid w:val="00EB70B4"/>
    <w:rsid w:val="00ED5ADA"/>
    <w:rsid w:val="00ED66E5"/>
    <w:rsid w:val="00EE168B"/>
    <w:rsid w:val="00EE6FC2"/>
    <w:rsid w:val="00EF1FFD"/>
    <w:rsid w:val="00EF211B"/>
    <w:rsid w:val="00EF3F1E"/>
    <w:rsid w:val="00F025FA"/>
    <w:rsid w:val="00F07168"/>
    <w:rsid w:val="00F150D0"/>
    <w:rsid w:val="00F2184A"/>
    <w:rsid w:val="00F23626"/>
    <w:rsid w:val="00F243ED"/>
    <w:rsid w:val="00F249C9"/>
    <w:rsid w:val="00F24C31"/>
    <w:rsid w:val="00F322D0"/>
    <w:rsid w:val="00F41B09"/>
    <w:rsid w:val="00F45BCE"/>
    <w:rsid w:val="00F4755F"/>
    <w:rsid w:val="00F52CD5"/>
    <w:rsid w:val="00F62BFC"/>
    <w:rsid w:val="00F812B1"/>
    <w:rsid w:val="00F8369A"/>
    <w:rsid w:val="00F90053"/>
    <w:rsid w:val="00F92A54"/>
    <w:rsid w:val="00F93321"/>
    <w:rsid w:val="00F976F7"/>
    <w:rsid w:val="00FA33B6"/>
    <w:rsid w:val="00FA5CDC"/>
    <w:rsid w:val="00FA7C6A"/>
    <w:rsid w:val="00FB69DE"/>
    <w:rsid w:val="00FC33D7"/>
    <w:rsid w:val="00FC4A53"/>
    <w:rsid w:val="00FC6E73"/>
    <w:rsid w:val="00FD32FE"/>
    <w:rsid w:val="00FD5CED"/>
    <w:rsid w:val="00FD6E80"/>
    <w:rsid w:val="00FD71C8"/>
    <w:rsid w:val="00FE0BC4"/>
    <w:rsid w:val="00FE4AFE"/>
    <w:rsid w:val="00FE55D9"/>
    <w:rsid w:val="00FF162F"/>
    <w:rsid w:val="00FF720B"/>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39CEE"/>
  <w15:docId w15:val="{757F89BE-3804-47C0-99FE-ED145944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DD9"/>
    <w:rPr>
      <w:rFonts w:ascii="Calibri" w:eastAsia="Calibri" w:hAnsi="Calibri" w:cs="Times New Roman"/>
    </w:rPr>
  </w:style>
  <w:style w:type="paragraph" w:styleId="Heading1">
    <w:name w:val="heading 1"/>
    <w:basedOn w:val="Normal"/>
    <w:next w:val="Normal"/>
    <w:link w:val="Heading1Char"/>
    <w:uiPriority w:val="9"/>
    <w:qFormat/>
    <w:rsid w:val="00E926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1A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262D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D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BD0"/>
  </w:style>
  <w:style w:type="paragraph" w:styleId="Footer">
    <w:name w:val="footer"/>
    <w:basedOn w:val="Normal"/>
    <w:link w:val="FooterChar"/>
    <w:uiPriority w:val="99"/>
    <w:unhideWhenUsed/>
    <w:rsid w:val="007C3BD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3BD0"/>
  </w:style>
  <w:style w:type="paragraph" w:styleId="BalloonText">
    <w:name w:val="Balloon Text"/>
    <w:basedOn w:val="Normal"/>
    <w:link w:val="BalloonTextChar"/>
    <w:uiPriority w:val="99"/>
    <w:semiHidden/>
    <w:unhideWhenUsed/>
    <w:rsid w:val="007C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paragraph" w:styleId="NoSpacing">
    <w:name w:val="No Spacing"/>
    <w:uiPriority w:val="1"/>
    <w:qFormat/>
    <w:rsid w:val="0028274D"/>
    <w:pPr>
      <w:spacing w:after="0" w:line="240" w:lineRule="auto"/>
    </w:pPr>
  </w:style>
  <w:style w:type="character" w:styleId="Emphasis">
    <w:name w:val="Emphasis"/>
    <w:basedOn w:val="DefaultParagraphFont"/>
    <w:uiPriority w:val="20"/>
    <w:qFormat/>
    <w:rsid w:val="00396AB5"/>
    <w:rPr>
      <w:i/>
      <w:iCs/>
    </w:rPr>
  </w:style>
  <w:style w:type="paragraph" w:styleId="ListParagraph">
    <w:name w:val="List Paragraph"/>
    <w:basedOn w:val="Normal"/>
    <w:uiPriority w:val="34"/>
    <w:qFormat/>
    <w:rsid w:val="00FE4AFE"/>
    <w:pPr>
      <w:ind w:left="720"/>
      <w:contextualSpacing/>
    </w:pPr>
    <w:rPr>
      <w:rFonts w:asciiTheme="minorHAnsi" w:eastAsiaTheme="minorEastAsia" w:hAnsiTheme="minorHAnsi" w:cstheme="minorBidi"/>
    </w:rPr>
  </w:style>
  <w:style w:type="table" w:styleId="TableGrid">
    <w:name w:val="Table Grid"/>
    <w:basedOn w:val="TableNormal"/>
    <w:uiPriority w:val="39"/>
    <w:rsid w:val="00BA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9C606E"/>
    <w:pPr>
      <w:spacing w:after="40"/>
    </w:pPr>
    <w:rPr>
      <w:rFonts w:eastAsia="MS Gothic"/>
      <w:color w:val="262626"/>
      <w:sz w:val="20"/>
      <w:szCs w:val="20"/>
    </w:rPr>
  </w:style>
  <w:style w:type="character" w:customStyle="1" w:styleId="FormHeadingChar">
    <w:name w:val="Form Heading Char"/>
    <w:link w:val="FormHeading"/>
    <w:rsid w:val="009C606E"/>
    <w:rPr>
      <w:color w:val="595959"/>
    </w:rPr>
  </w:style>
  <w:style w:type="paragraph" w:customStyle="1" w:styleId="FormHeading">
    <w:name w:val="Form Heading"/>
    <w:basedOn w:val="Normal"/>
    <w:link w:val="FormHeadingChar"/>
    <w:qFormat/>
    <w:rsid w:val="009C606E"/>
    <w:pPr>
      <w:spacing w:before="480" w:after="120"/>
    </w:pPr>
    <w:rPr>
      <w:rFonts w:asciiTheme="minorHAnsi" w:eastAsiaTheme="minorHAnsi" w:hAnsiTheme="minorHAnsi" w:cstheme="minorBidi"/>
      <w:color w:val="595959"/>
    </w:rPr>
  </w:style>
  <w:style w:type="character" w:styleId="Hyperlink">
    <w:name w:val="Hyperlink"/>
    <w:basedOn w:val="DefaultParagraphFont"/>
    <w:uiPriority w:val="99"/>
    <w:unhideWhenUsed/>
    <w:rsid w:val="00A1530F"/>
    <w:rPr>
      <w:color w:val="0000FF" w:themeColor="hyperlink"/>
      <w:u w:val="single"/>
    </w:rPr>
  </w:style>
  <w:style w:type="character" w:customStyle="1" w:styleId="Heading3Char">
    <w:name w:val="Heading 3 Char"/>
    <w:basedOn w:val="DefaultParagraphFont"/>
    <w:link w:val="Heading3"/>
    <w:uiPriority w:val="9"/>
    <w:rsid w:val="00A262DA"/>
    <w:rPr>
      <w:rFonts w:ascii="Times New Roman" w:eastAsia="Times New Roman" w:hAnsi="Times New Roman" w:cs="Times New Roman"/>
      <w:b/>
      <w:bCs/>
      <w:sz w:val="27"/>
      <w:szCs w:val="27"/>
    </w:rPr>
  </w:style>
  <w:style w:type="character" w:customStyle="1" w:styleId="address-primary">
    <w:name w:val="address-primary"/>
    <w:basedOn w:val="DefaultParagraphFont"/>
    <w:rsid w:val="00A262DA"/>
  </w:style>
  <w:style w:type="character" w:customStyle="1" w:styleId="address-location">
    <w:name w:val="address-location"/>
    <w:basedOn w:val="DefaultParagraphFont"/>
    <w:rsid w:val="00A262DA"/>
  </w:style>
  <w:style w:type="character" w:customStyle="1" w:styleId="Heading1Char">
    <w:name w:val="Heading 1 Char"/>
    <w:basedOn w:val="DefaultParagraphFont"/>
    <w:link w:val="Heading1"/>
    <w:uiPriority w:val="9"/>
    <w:rsid w:val="00E92682"/>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AB2ECF"/>
    <w:rPr>
      <w:color w:val="2B579A"/>
      <w:shd w:val="clear" w:color="auto" w:fill="E6E6E6"/>
    </w:rPr>
  </w:style>
  <w:style w:type="character" w:styleId="CommentReference">
    <w:name w:val="annotation reference"/>
    <w:basedOn w:val="DefaultParagraphFont"/>
    <w:semiHidden/>
    <w:unhideWhenUsed/>
    <w:rsid w:val="00D06235"/>
    <w:rPr>
      <w:sz w:val="16"/>
      <w:szCs w:val="16"/>
    </w:rPr>
  </w:style>
  <w:style w:type="paragraph" w:styleId="CommentText">
    <w:name w:val="annotation text"/>
    <w:basedOn w:val="Normal"/>
    <w:link w:val="CommentTextChar"/>
    <w:unhideWhenUsed/>
    <w:rsid w:val="00D06235"/>
    <w:pPr>
      <w:spacing w:line="240" w:lineRule="auto"/>
    </w:pPr>
    <w:rPr>
      <w:sz w:val="20"/>
      <w:szCs w:val="20"/>
    </w:rPr>
  </w:style>
  <w:style w:type="character" w:customStyle="1" w:styleId="CommentTextChar">
    <w:name w:val="Comment Text Char"/>
    <w:basedOn w:val="DefaultParagraphFont"/>
    <w:link w:val="CommentText"/>
    <w:rsid w:val="00D062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6235"/>
    <w:rPr>
      <w:b/>
      <w:bCs/>
    </w:rPr>
  </w:style>
  <w:style w:type="character" w:customStyle="1" w:styleId="CommentSubjectChar">
    <w:name w:val="Comment Subject Char"/>
    <w:basedOn w:val="CommentTextChar"/>
    <w:link w:val="CommentSubject"/>
    <w:uiPriority w:val="99"/>
    <w:semiHidden/>
    <w:rsid w:val="00D06235"/>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5E1AE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57BE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4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10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B410D"/>
    <w:rPr>
      <w:rFonts w:eastAsiaTheme="minorEastAsia"/>
      <w:color w:val="5A5A5A" w:themeColor="text1" w:themeTint="A5"/>
      <w:spacing w:val="15"/>
    </w:rPr>
  </w:style>
  <w:style w:type="character" w:styleId="SubtleEmphasis">
    <w:name w:val="Subtle Emphasis"/>
    <w:basedOn w:val="DefaultParagraphFont"/>
    <w:uiPriority w:val="19"/>
    <w:qFormat/>
    <w:rsid w:val="000B410D"/>
    <w:rPr>
      <w:i/>
      <w:iCs/>
      <w:color w:val="404040" w:themeColor="text1" w:themeTint="BF"/>
    </w:rPr>
  </w:style>
  <w:style w:type="paragraph" w:styleId="FootnoteText">
    <w:name w:val="footnote text"/>
    <w:basedOn w:val="Normal"/>
    <w:link w:val="FootnoteTextChar"/>
    <w:uiPriority w:val="99"/>
    <w:semiHidden/>
    <w:unhideWhenUsed/>
    <w:rsid w:val="00724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452B"/>
    <w:rPr>
      <w:vertAlign w:val="superscript"/>
    </w:rPr>
  </w:style>
  <w:style w:type="table" w:styleId="GridTable2">
    <w:name w:val="Grid Table 2"/>
    <w:basedOn w:val="TableNormal"/>
    <w:uiPriority w:val="47"/>
    <w:rsid w:val="00746CA3"/>
    <w:pPr>
      <w:spacing w:after="0" w:line="240" w:lineRule="auto"/>
    </w:pPr>
    <w:rPr>
      <w:rFonts w:ascii="Calibri" w:eastAsia="Calibri" w:hAnsi="Calibri" w:cs="Times New Roman"/>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84473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333">
      <w:bodyDiv w:val="1"/>
      <w:marLeft w:val="0"/>
      <w:marRight w:val="0"/>
      <w:marTop w:val="0"/>
      <w:marBottom w:val="0"/>
      <w:divBdr>
        <w:top w:val="none" w:sz="0" w:space="0" w:color="auto"/>
        <w:left w:val="none" w:sz="0" w:space="0" w:color="auto"/>
        <w:bottom w:val="none" w:sz="0" w:space="0" w:color="auto"/>
        <w:right w:val="none" w:sz="0" w:space="0" w:color="auto"/>
      </w:divBdr>
    </w:div>
    <w:div w:id="211697205">
      <w:bodyDiv w:val="1"/>
      <w:marLeft w:val="0"/>
      <w:marRight w:val="0"/>
      <w:marTop w:val="0"/>
      <w:marBottom w:val="0"/>
      <w:divBdr>
        <w:top w:val="none" w:sz="0" w:space="0" w:color="auto"/>
        <w:left w:val="none" w:sz="0" w:space="0" w:color="auto"/>
        <w:bottom w:val="none" w:sz="0" w:space="0" w:color="auto"/>
        <w:right w:val="none" w:sz="0" w:space="0" w:color="auto"/>
      </w:divBdr>
    </w:div>
    <w:div w:id="388694182">
      <w:bodyDiv w:val="1"/>
      <w:marLeft w:val="0"/>
      <w:marRight w:val="0"/>
      <w:marTop w:val="0"/>
      <w:marBottom w:val="0"/>
      <w:divBdr>
        <w:top w:val="none" w:sz="0" w:space="0" w:color="auto"/>
        <w:left w:val="none" w:sz="0" w:space="0" w:color="auto"/>
        <w:bottom w:val="none" w:sz="0" w:space="0" w:color="auto"/>
        <w:right w:val="none" w:sz="0" w:space="0" w:color="auto"/>
      </w:divBdr>
    </w:div>
    <w:div w:id="839469680">
      <w:bodyDiv w:val="1"/>
      <w:marLeft w:val="0"/>
      <w:marRight w:val="0"/>
      <w:marTop w:val="0"/>
      <w:marBottom w:val="0"/>
      <w:divBdr>
        <w:top w:val="none" w:sz="0" w:space="0" w:color="auto"/>
        <w:left w:val="none" w:sz="0" w:space="0" w:color="auto"/>
        <w:bottom w:val="none" w:sz="0" w:space="0" w:color="auto"/>
        <w:right w:val="none" w:sz="0" w:space="0" w:color="auto"/>
      </w:divBdr>
    </w:div>
    <w:div w:id="999574065">
      <w:bodyDiv w:val="1"/>
      <w:marLeft w:val="0"/>
      <w:marRight w:val="0"/>
      <w:marTop w:val="0"/>
      <w:marBottom w:val="0"/>
      <w:divBdr>
        <w:top w:val="none" w:sz="0" w:space="0" w:color="auto"/>
        <w:left w:val="none" w:sz="0" w:space="0" w:color="auto"/>
        <w:bottom w:val="none" w:sz="0" w:space="0" w:color="auto"/>
        <w:right w:val="none" w:sz="0" w:space="0" w:color="auto"/>
      </w:divBdr>
    </w:div>
    <w:div w:id="1040133281">
      <w:bodyDiv w:val="1"/>
      <w:marLeft w:val="0"/>
      <w:marRight w:val="0"/>
      <w:marTop w:val="0"/>
      <w:marBottom w:val="0"/>
      <w:divBdr>
        <w:top w:val="none" w:sz="0" w:space="0" w:color="auto"/>
        <w:left w:val="none" w:sz="0" w:space="0" w:color="auto"/>
        <w:bottom w:val="none" w:sz="0" w:space="0" w:color="auto"/>
        <w:right w:val="none" w:sz="0" w:space="0" w:color="auto"/>
      </w:divBdr>
    </w:div>
    <w:div w:id="1068309896">
      <w:bodyDiv w:val="1"/>
      <w:marLeft w:val="0"/>
      <w:marRight w:val="0"/>
      <w:marTop w:val="0"/>
      <w:marBottom w:val="0"/>
      <w:divBdr>
        <w:top w:val="none" w:sz="0" w:space="0" w:color="auto"/>
        <w:left w:val="none" w:sz="0" w:space="0" w:color="auto"/>
        <w:bottom w:val="none" w:sz="0" w:space="0" w:color="auto"/>
        <w:right w:val="none" w:sz="0" w:space="0" w:color="auto"/>
      </w:divBdr>
    </w:div>
    <w:div w:id="1102530739">
      <w:bodyDiv w:val="1"/>
      <w:marLeft w:val="0"/>
      <w:marRight w:val="0"/>
      <w:marTop w:val="0"/>
      <w:marBottom w:val="0"/>
      <w:divBdr>
        <w:top w:val="none" w:sz="0" w:space="0" w:color="auto"/>
        <w:left w:val="none" w:sz="0" w:space="0" w:color="auto"/>
        <w:bottom w:val="none" w:sz="0" w:space="0" w:color="auto"/>
        <w:right w:val="none" w:sz="0" w:space="0" w:color="auto"/>
      </w:divBdr>
    </w:div>
    <w:div w:id="1396198517">
      <w:bodyDiv w:val="1"/>
      <w:marLeft w:val="0"/>
      <w:marRight w:val="0"/>
      <w:marTop w:val="0"/>
      <w:marBottom w:val="0"/>
      <w:divBdr>
        <w:top w:val="none" w:sz="0" w:space="0" w:color="auto"/>
        <w:left w:val="none" w:sz="0" w:space="0" w:color="auto"/>
        <w:bottom w:val="none" w:sz="0" w:space="0" w:color="auto"/>
        <w:right w:val="none" w:sz="0" w:space="0" w:color="auto"/>
      </w:divBdr>
    </w:div>
    <w:div w:id="1478568994">
      <w:bodyDiv w:val="1"/>
      <w:marLeft w:val="0"/>
      <w:marRight w:val="0"/>
      <w:marTop w:val="0"/>
      <w:marBottom w:val="0"/>
      <w:divBdr>
        <w:top w:val="none" w:sz="0" w:space="0" w:color="auto"/>
        <w:left w:val="none" w:sz="0" w:space="0" w:color="auto"/>
        <w:bottom w:val="none" w:sz="0" w:space="0" w:color="auto"/>
        <w:right w:val="none" w:sz="0" w:space="0" w:color="auto"/>
      </w:divBdr>
    </w:div>
    <w:div w:id="1568032909">
      <w:bodyDiv w:val="1"/>
      <w:marLeft w:val="0"/>
      <w:marRight w:val="0"/>
      <w:marTop w:val="0"/>
      <w:marBottom w:val="0"/>
      <w:divBdr>
        <w:top w:val="none" w:sz="0" w:space="0" w:color="auto"/>
        <w:left w:val="none" w:sz="0" w:space="0" w:color="auto"/>
        <w:bottom w:val="none" w:sz="0" w:space="0" w:color="auto"/>
        <w:right w:val="none" w:sz="0" w:space="0" w:color="auto"/>
      </w:divBdr>
    </w:div>
    <w:div w:id="1577588228">
      <w:bodyDiv w:val="1"/>
      <w:marLeft w:val="0"/>
      <w:marRight w:val="0"/>
      <w:marTop w:val="0"/>
      <w:marBottom w:val="0"/>
      <w:divBdr>
        <w:top w:val="none" w:sz="0" w:space="0" w:color="auto"/>
        <w:left w:val="none" w:sz="0" w:space="0" w:color="auto"/>
        <w:bottom w:val="none" w:sz="0" w:space="0" w:color="auto"/>
        <w:right w:val="none" w:sz="0" w:space="0" w:color="auto"/>
      </w:divBdr>
    </w:div>
    <w:div w:id="1648124135">
      <w:bodyDiv w:val="1"/>
      <w:marLeft w:val="0"/>
      <w:marRight w:val="0"/>
      <w:marTop w:val="0"/>
      <w:marBottom w:val="0"/>
      <w:divBdr>
        <w:top w:val="none" w:sz="0" w:space="0" w:color="auto"/>
        <w:left w:val="none" w:sz="0" w:space="0" w:color="auto"/>
        <w:bottom w:val="none" w:sz="0" w:space="0" w:color="auto"/>
        <w:right w:val="none" w:sz="0" w:space="0" w:color="auto"/>
      </w:divBdr>
      <w:divsChild>
        <w:div w:id="1989630842">
          <w:marLeft w:val="0"/>
          <w:marRight w:val="0"/>
          <w:marTop w:val="0"/>
          <w:marBottom w:val="0"/>
          <w:divBdr>
            <w:top w:val="none" w:sz="0" w:space="0" w:color="auto"/>
            <w:left w:val="none" w:sz="0" w:space="0" w:color="auto"/>
            <w:bottom w:val="none" w:sz="0" w:space="0" w:color="auto"/>
            <w:right w:val="none" w:sz="0" w:space="0" w:color="auto"/>
          </w:divBdr>
        </w:div>
        <w:div w:id="87628670">
          <w:marLeft w:val="0"/>
          <w:marRight w:val="0"/>
          <w:marTop w:val="0"/>
          <w:marBottom w:val="0"/>
          <w:divBdr>
            <w:top w:val="none" w:sz="0" w:space="0" w:color="auto"/>
            <w:left w:val="none" w:sz="0" w:space="0" w:color="auto"/>
            <w:bottom w:val="none" w:sz="0" w:space="0" w:color="auto"/>
            <w:right w:val="none" w:sz="0" w:space="0" w:color="auto"/>
          </w:divBdr>
        </w:div>
        <w:div w:id="986860397">
          <w:marLeft w:val="0"/>
          <w:marRight w:val="0"/>
          <w:marTop w:val="0"/>
          <w:marBottom w:val="0"/>
          <w:divBdr>
            <w:top w:val="none" w:sz="0" w:space="0" w:color="auto"/>
            <w:left w:val="none" w:sz="0" w:space="0" w:color="auto"/>
            <w:bottom w:val="none" w:sz="0" w:space="0" w:color="auto"/>
            <w:right w:val="none" w:sz="0" w:space="0" w:color="auto"/>
          </w:divBdr>
        </w:div>
        <w:div w:id="900403159">
          <w:marLeft w:val="0"/>
          <w:marRight w:val="0"/>
          <w:marTop w:val="0"/>
          <w:marBottom w:val="0"/>
          <w:divBdr>
            <w:top w:val="none" w:sz="0" w:space="0" w:color="auto"/>
            <w:left w:val="none" w:sz="0" w:space="0" w:color="auto"/>
            <w:bottom w:val="none" w:sz="0" w:space="0" w:color="auto"/>
            <w:right w:val="none" w:sz="0" w:space="0" w:color="auto"/>
          </w:divBdr>
        </w:div>
        <w:div w:id="996303696">
          <w:marLeft w:val="0"/>
          <w:marRight w:val="0"/>
          <w:marTop w:val="0"/>
          <w:marBottom w:val="0"/>
          <w:divBdr>
            <w:top w:val="none" w:sz="0" w:space="0" w:color="auto"/>
            <w:left w:val="none" w:sz="0" w:space="0" w:color="auto"/>
            <w:bottom w:val="none" w:sz="0" w:space="0" w:color="auto"/>
            <w:right w:val="none" w:sz="0" w:space="0" w:color="auto"/>
          </w:divBdr>
        </w:div>
        <w:div w:id="596912418">
          <w:marLeft w:val="0"/>
          <w:marRight w:val="0"/>
          <w:marTop w:val="0"/>
          <w:marBottom w:val="0"/>
          <w:divBdr>
            <w:top w:val="none" w:sz="0" w:space="0" w:color="auto"/>
            <w:left w:val="none" w:sz="0" w:space="0" w:color="auto"/>
            <w:bottom w:val="none" w:sz="0" w:space="0" w:color="auto"/>
            <w:right w:val="none" w:sz="0" w:space="0" w:color="auto"/>
          </w:divBdr>
        </w:div>
        <w:div w:id="97023707">
          <w:marLeft w:val="0"/>
          <w:marRight w:val="0"/>
          <w:marTop w:val="0"/>
          <w:marBottom w:val="0"/>
          <w:divBdr>
            <w:top w:val="none" w:sz="0" w:space="0" w:color="auto"/>
            <w:left w:val="none" w:sz="0" w:space="0" w:color="auto"/>
            <w:bottom w:val="none" w:sz="0" w:space="0" w:color="auto"/>
            <w:right w:val="none" w:sz="0" w:space="0" w:color="auto"/>
          </w:divBdr>
        </w:div>
      </w:divsChild>
    </w:div>
    <w:div w:id="1700818279">
      <w:bodyDiv w:val="1"/>
      <w:marLeft w:val="0"/>
      <w:marRight w:val="0"/>
      <w:marTop w:val="0"/>
      <w:marBottom w:val="0"/>
      <w:divBdr>
        <w:top w:val="none" w:sz="0" w:space="0" w:color="auto"/>
        <w:left w:val="none" w:sz="0" w:space="0" w:color="auto"/>
        <w:bottom w:val="none" w:sz="0" w:space="0" w:color="auto"/>
        <w:right w:val="none" w:sz="0" w:space="0" w:color="auto"/>
      </w:divBdr>
    </w:div>
    <w:div w:id="1897206644">
      <w:bodyDiv w:val="1"/>
      <w:marLeft w:val="0"/>
      <w:marRight w:val="0"/>
      <w:marTop w:val="0"/>
      <w:marBottom w:val="0"/>
      <w:divBdr>
        <w:top w:val="none" w:sz="0" w:space="0" w:color="auto"/>
        <w:left w:val="none" w:sz="0" w:space="0" w:color="auto"/>
        <w:bottom w:val="none" w:sz="0" w:space="0" w:color="auto"/>
        <w:right w:val="none" w:sz="0" w:space="0" w:color="auto"/>
      </w:divBdr>
    </w:div>
    <w:div w:id="2109544031">
      <w:bodyDiv w:val="1"/>
      <w:marLeft w:val="0"/>
      <w:marRight w:val="0"/>
      <w:marTop w:val="0"/>
      <w:marBottom w:val="0"/>
      <w:divBdr>
        <w:top w:val="none" w:sz="0" w:space="0" w:color="auto"/>
        <w:left w:val="none" w:sz="0" w:space="0" w:color="auto"/>
        <w:bottom w:val="none" w:sz="0" w:space="0" w:color="auto"/>
        <w:right w:val="none" w:sz="0" w:space="0" w:color="auto"/>
      </w:divBdr>
    </w:div>
    <w:div w:id="2145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iles@vermont.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B85C-2F6E-47E0-808F-49EF2412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Janet</dc:creator>
  <cp:keywords/>
  <dc:description/>
  <cp:lastModifiedBy>Miles, Melissa</cp:lastModifiedBy>
  <cp:revision>3</cp:revision>
  <cp:lastPrinted>2018-06-11T18:58:00Z</cp:lastPrinted>
  <dcterms:created xsi:type="dcterms:W3CDTF">2018-07-24T14:43:00Z</dcterms:created>
  <dcterms:modified xsi:type="dcterms:W3CDTF">2018-07-24T15:11:00Z</dcterms:modified>
</cp:coreProperties>
</file>