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4318" w14:textId="2D1ACD26" w:rsidR="00640D24" w:rsidRDefault="005F0BCD">
      <w:r>
        <w:t xml:space="preserve">Please reference the completed ‘RRMC FY 2025 Budget Narrative’ embedded sections for this information. </w:t>
      </w:r>
    </w:p>
    <w:sectPr w:rsidR="00640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CD"/>
    <w:rsid w:val="004A3947"/>
    <w:rsid w:val="005F0BCD"/>
    <w:rsid w:val="00640D24"/>
    <w:rsid w:val="006F7D7D"/>
    <w:rsid w:val="00D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FF6A"/>
  <w15:chartTrackingRefBased/>
  <w15:docId w15:val="{8C3647B2-4165-4284-94D1-73D97F1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B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B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B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B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B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Thayer</dc:creator>
  <cp:keywords/>
  <dc:description/>
  <cp:lastModifiedBy>Lisa M. Thayer</cp:lastModifiedBy>
  <cp:revision>1</cp:revision>
  <dcterms:created xsi:type="dcterms:W3CDTF">2024-07-01T14:49:00Z</dcterms:created>
  <dcterms:modified xsi:type="dcterms:W3CDTF">2024-07-01T14:54:00Z</dcterms:modified>
</cp:coreProperties>
</file>