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21D4C" w14:textId="234EF307" w:rsidR="00082AA9" w:rsidRPr="00EE264E" w:rsidRDefault="000C1CE3" w:rsidP="005C3DE7">
      <w:pPr>
        <w:pBdr>
          <w:bottom w:val="single" w:sz="4" w:space="1" w:color="auto"/>
        </w:pBdr>
        <w:spacing w:after="120" w:line="240" w:lineRule="auto"/>
        <w:jc w:val="center"/>
        <w:rPr>
          <w:rFonts w:eastAsiaTheme="minorEastAsia"/>
          <w:b/>
          <w:color w:val="1F497D" w:themeColor="text2"/>
          <w:sz w:val="20"/>
          <w:szCs w:val="20"/>
        </w:rPr>
      </w:pPr>
      <w:bookmarkStart w:id="0" w:name="_Hlk520382674"/>
      <w:r>
        <w:rPr>
          <w:rFonts w:eastAsiaTheme="minorEastAsia"/>
          <w:b/>
          <w:color w:val="1F497D" w:themeColor="text2"/>
          <w:sz w:val="20"/>
          <w:szCs w:val="20"/>
        </w:rPr>
        <w:t xml:space="preserve">VERMONT </w:t>
      </w:r>
      <w:r w:rsidR="00152E52" w:rsidRPr="00EE264E">
        <w:rPr>
          <w:rFonts w:eastAsiaTheme="minorEastAsia"/>
          <w:b/>
          <w:color w:val="1F497D" w:themeColor="text2"/>
          <w:sz w:val="20"/>
          <w:szCs w:val="20"/>
        </w:rPr>
        <w:t xml:space="preserve">ALL-PAYER ACO MODEL – </w:t>
      </w:r>
      <w:r w:rsidR="00E16391">
        <w:rPr>
          <w:rFonts w:eastAsiaTheme="minorEastAsia"/>
          <w:b/>
          <w:color w:val="1F497D" w:themeColor="text2"/>
          <w:sz w:val="20"/>
          <w:szCs w:val="20"/>
        </w:rPr>
        <w:t>APM FINANCIAL</w:t>
      </w:r>
      <w:r w:rsidR="00082AA9" w:rsidRPr="00EE264E">
        <w:rPr>
          <w:rFonts w:eastAsiaTheme="minorEastAsia"/>
          <w:b/>
          <w:color w:val="1F497D" w:themeColor="text2"/>
          <w:sz w:val="20"/>
          <w:szCs w:val="20"/>
        </w:rPr>
        <w:t xml:space="preserve"> TARGET</w:t>
      </w:r>
      <w:r w:rsidR="00152E52" w:rsidRPr="00EE264E">
        <w:rPr>
          <w:rFonts w:eastAsiaTheme="minorEastAsia"/>
          <w:b/>
          <w:color w:val="1F497D" w:themeColor="text2"/>
          <w:sz w:val="20"/>
          <w:szCs w:val="20"/>
        </w:rPr>
        <w:t xml:space="preserve"> SUMMARY</w:t>
      </w:r>
    </w:p>
    <w:bookmarkEnd w:id="0"/>
    <w:p w14:paraId="67962A11" w14:textId="53D5AFA5" w:rsidR="00536284" w:rsidRPr="00C429FA" w:rsidRDefault="00536284" w:rsidP="00536284">
      <w:pPr>
        <w:spacing w:after="120" w:line="240" w:lineRule="auto"/>
        <w:rPr>
          <w:rFonts w:cs="Times New Roman"/>
          <w:sz w:val="20"/>
          <w:szCs w:val="20"/>
        </w:rPr>
      </w:pPr>
      <w:r w:rsidRPr="00C429FA">
        <w:rPr>
          <w:rFonts w:cs="Times New Roman"/>
          <w:sz w:val="20"/>
          <w:szCs w:val="20"/>
        </w:rPr>
        <w:t xml:space="preserve">The All-Payer ACO Model Agreement includes </w:t>
      </w:r>
      <w:r>
        <w:rPr>
          <w:rFonts w:cs="Times New Roman"/>
          <w:sz w:val="20"/>
          <w:szCs w:val="20"/>
        </w:rPr>
        <w:t>financial targets under which the state is responsible for limiting all-payer and Medicare cost growth over the</w:t>
      </w:r>
      <w:r w:rsidR="004F571B">
        <w:rPr>
          <w:rFonts w:cs="Times New Roman"/>
          <w:sz w:val="20"/>
          <w:szCs w:val="20"/>
        </w:rPr>
        <w:t xml:space="preserve"> five-year</w:t>
      </w:r>
      <w:r>
        <w:rPr>
          <w:rFonts w:cs="Times New Roman"/>
          <w:sz w:val="20"/>
          <w:szCs w:val="20"/>
        </w:rPr>
        <w:t xml:space="preserve"> period of the Agreement</w:t>
      </w:r>
      <w:r w:rsidR="009D64AE">
        <w:rPr>
          <w:rFonts w:cs="Times New Roman"/>
          <w:sz w:val="20"/>
          <w:szCs w:val="20"/>
        </w:rPr>
        <w:t>, with 2017 as a baseline year</w:t>
      </w:r>
      <w:r>
        <w:rPr>
          <w:rFonts w:cs="Times New Roman"/>
          <w:sz w:val="20"/>
          <w:szCs w:val="20"/>
        </w:rPr>
        <w:t>.</w:t>
      </w:r>
    </w:p>
    <w:tbl>
      <w:tblPr>
        <w:tblW w:w="2666" w:type="pct"/>
        <w:jc w:val="center"/>
        <w:tblBorders>
          <w:top w:val="single" w:sz="6" w:space="0" w:color="0070C0"/>
          <w:left w:val="single" w:sz="6" w:space="0" w:color="0070C0"/>
          <w:bottom w:val="single" w:sz="6" w:space="0" w:color="0070C0"/>
          <w:right w:val="single" w:sz="6" w:space="0" w:color="0070C0"/>
          <w:insideH w:val="single" w:sz="6" w:space="0" w:color="0070C0"/>
        </w:tblBorders>
        <w:tblCellMar>
          <w:left w:w="0" w:type="dxa"/>
          <w:right w:w="0" w:type="dxa"/>
        </w:tblCellMar>
        <w:tblLook w:val="0420" w:firstRow="1" w:lastRow="0" w:firstColumn="0" w:lastColumn="0" w:noHBand="0" w:noVBand="1"/>
      </w:tblPr>
      <w:tblGrid>
        <w:gridCol w:w="1162"/>
        <w:gridCol w:w="4588"/>
      </w:tblGrid>
      <w:tr w:rsidR="00536284" w:rsidRPr="00C429FA" w14:paraId="26AD7F07" w14:textId="77777777" w:rsidTr="00536284">
        <w:trPr>
          <w:trHeight w:val="288"/>
          <w:jc w:val="center"/>
        </w:trPr>
        <w:tc>
          <w:tcPr>
            <w:tcW w:w="1162" w:type="dxa"/>
            <w:shd w:val="clear" w:color="auto" w:fill="0070C0"/>
            <w:tcMar>
              <w:top w:w="15" w:type="dxa"/>
              <w:left w:w="108" w:type="dxa"/>
              <w:bottom w:w="0" w:type="dxa"/>
              <w:right w:w="108" w:type="dxa"/>
            </w:tcMar>
            <w:hideMark/>
          </w:tcPr>
          <w:p w14:paraId="06D8AB12" w14:textId="77777777" w:rsidR="00536284" w:rsidRPr="00C429FA" w:rsidRDefault="00536284" w:rsidP="00E509F3">
            <w:pPr>
              <w:spacing w:after="0" w:line="240" w:lineRule="auto"/>
              <w:rPr>
                <w:rFonts w:eastAsia="Times New Roman" w:cs="Times New Roman"/>
                <w:sz w:val="20"/>
                <w:szCs w:val="20"/>
              </w:rPr>
            </w:pPr>
          </w:p>
        </w:tc>
        <w:tc>
          <w:tcPr>
            <w:tcW w:w="4588" w:type="dxa"/>
            <w:shd w:val="clear" w:color="auto" w:fill="0070C0"/>
            <w:tcMar>
              <w:top w:w="15" w:type="dxa"/>
              <w:left w:w="108" w:type="dxa"/>
              <w:bottom w:w="0" w:type="dxa"/>
              <w:right w:w="108" w:type="dxa"/>
            </w:tcMar>
            <w:vAlign w:val="center"/>
            <w:hideMark/>
          </w:tcPr>
          <w:p w14:paraId="412795E0" w14:textId="6D365C64" w:rsidR="00536284" w:rsidRPr="00C429FA" w:rsidRDefault="00D00D77" w:rsidP="00E509F3">
            <w:pPr>
              <w:spacing w:after="0" w:line="240" w:lineRule="auto"/>
              <w:jc w:val="center"/>
              <w:rPr>
                <w:rFonts w:eastAsia="Times New Roman" w:cs="Arial"/>
                <w:sz w:val="20"/>
                <w:szCs w:val="20"/>
              </w:rPr>
            </w:pPr>
            <w:r>
              <w:rPr>
                <w:rFonts w:eastAsia="Times New Roman" w:cs="Arial"/>
                <w:b/>
                <w:bCs/>
                <w:color w:val="FFFFFF"/>
                <w:kern w:val="24"/>
                <w:sz w:val="20"/>
                <w:szCs w:val="20"/>
              </w:rPr>
              <w:t>APM Financial</w:t>
            </w:r>
            <w:r w:rsidR="00536284" w:rsidRPr="00C429FA">
              <w:rPr>
                <w:rFonts w:eastAsia="Times New Roman" w:cs="Arial"/>
                <w:b/>
                <w:bCs/>
                <w:color w:val="FFFFFF"/>
                <w:kern w:val="24"/>
                <w:sz w:val="20"/>
                <w:szCs w:val="20"/>
              </w:rPr>
              <w:t xml:space="preserve"> Targets</w:t>
            </w:r>
          </w:p>
        </w:tc>
      </w:tr>
      <w:tr w:rsidR="00536284" w:rsidRPr="00C429FA" w14:paraId="0DF9CCFE" w14:textId="77777777" w:rsidTr="00536284">
        <w:trPr>
          <w:trHeight w:val="288"/>
          <w:jc w:val="center"/>
        </w:trPr>
        <w:tc>
          <w:tcPr>
            <w:tcW w:w="1162" w:type="dxa"/>
            <w:shd w:val="clear" w:color="auto" w:fill="auto"/>
            <w:tcMar>
              <w:top w:w="15" w:type="dxa"/>
              <w:left w:w="108" w:type="dxa"/>
              <w:bottom w:w="0" w:type="dxa"/>
              <w:right w:w="108" w:type="dxa"/>
            </w:tcMar>
            <w:vAlign w:val="center"/>
            <w:hideMark/>
          </w:tcPr>
          <w:p w14:paraId="68EF0269" w14:textId="4483649A" w:rsidR="00536284" w:rsidRPr="00C429FA" w:rsidRDefault="00536284" w:rsidP="00E509F3">
            <w:pPr>
              <w:spacing w:after="0" w:line="240" w:lineRule="auto"/>
              <w:rPr>
                <w:rFonts w:eastAsia="Times New Roman" w:cs="Arial"/>
                <w:sz w:val="20"/>
                <w:szCs w:val="20"/>
              </w:rPr>
            </w:pPr>
            <w:r w:rsidRPr="00C429FA">
              <w:rPr>
                <w:rFonts w:eastAsia="Times New Roman" w:cs="Arial"/>
                <w:color w:val="000000"/>
                <w:kern w:val="24"/>
                <w:sz w:val="20"/>
                <w:szCs w:val="20"/>
              </w:rPr>
              <w:t xml:space="preserve">All-Payer </w:t>
            </w:r>
          </w:p>
        </w:tc>
        <w:tc>
          <w:tcPr>
            <w:tcW w:w="4588" w:type="dxa"/>
            <w:shd w:val="clear" w:color="auto" w:fill="auto"/>
            <w:tcMar>
              <w:top w:w="15" w:type="dxa"/>
              <w:left w:w="108" w:type="dxa"/>
              <w:bottom w:w="0" w:type="dxa"/>
              <w:right w:w="108" w:type="dxa"/>
            </w:tcMar>
            <w:vAlign w:val="center"/>
            <w:hideMark/>
          </w:tcPr>
          <w:p w14:paraId="343C724D" w14:textId="77777777" w:rsidR="00536284" w:rsidRPr="00C429FA" w:rsidRDefault="00536284" w:rsidP="00E509F3">
            <w:pPr>
              <w:spacing w:after="0" w:line="240" w:lineRule="auto"/>
              <w:jc w:val="center"/>
              <w:rPr>
                <w:rFonts w:eastAsia="Times New Roman" w:cs="Arial"/>
                <w:sz w:val="20"/>
                <w:szCs w:val="20"/>
              </w:rPr>
            </w:pPr>
            <w:r w:rsidRPr="00C429FA">
              <w:rPr>
                <w:rFonts w:eastAsia="Times New Roman" w:cs="Arial"/>
                <w:sz w:val="20"/>
                <w:szCs w:val="20"/>
              </w:rPr>
              <w:t xml:space="preserve">&lt;3.5% compound annualized growth rate </w:t>
            </w:r>
            <w:r w:rsidRPr="00C429FA">
              <w:rPr>
                <w:rFonts w:eastAsia="Times New Roman" w:cs="Arial"/>
                <w:sz w:val="20"/>
                <w:szCs w:val="20"/>
              </w:rPr>
              <w:br/>
              <w:t>from Baseline (2017) to PY5 (2022)</w:t>
            </w:r>
          </w:p>
        </w:tc>
      </w:tr>
      <w:tr w:rsidR="00536284" w:rsidRPr="00C429FA" w14:paraId="03014E70" w14:textId="77777777" w:rsidTr="00536284">
        <w:trPr>
          <w:trHeight w:val="288"/>
          <w:jc w:val="center"/>
        </w:trPr>
        <w:tc>
          <w:tcPr>
            <w:tcW w:w="1162" w:type="dxa"/>
            <w:shd w:val="clear" w:color="auto" w:fill="auto"/>
            <w:tcMar>
              <w:top w:w="15" w:type="dxa"/>
              <w:left w:w="108" w:type="dxa"/>
              <w:bottom w:w="0" w:type="dxa"/>
              <w:right w:w="108" w:type="dxa"/>
            </w:tcMar>
            <w:vAlign w:val="center"/>
            <w:hideMark/>
          </w:tcPr>
          <w:p w14:paraId="4339D7A8" w14:textId="7FB74BD2" w:rsidR="00536284" w:rsidRPr="00C429FA" w:rsidRDefault="00536284" w:rsidP="00E509F3">
            <w:pPr>
              <w:spacing w:after="0" w:line="240" w:lineRule="auto"/>
              <w:rPr>
                <w:rFonts w:eastAsia="Times New Roman" w:cs="Arial"/>
                <w:sz w:val="20"/>
                <w:szCs w:val="20"/>
              </w:rPr>
            </w:pPr>
            <w:r w:rsidRPr="00C429FA">
              <w:rPr>
                <w:rFonts w:eastAsia="Times New Roman" w:cs="Arial"/>
                <w:color w:val="000000"/>
                <w:kern w:val="24"/>
                <w:sz w:val="20"/>
                <w:szCs w:val="20"/>
              </w:rPr>
              <w:t xml:space="preserve">Medicare </w:t>
            </w:r>
          </w:p>
        </w:tc>
        <w:tc>
          <w:tcPr>
            <w:tcW w:w="4588" w:type="dxa"/>
            <w:shd w:val="clear" w:color="auto" w:fill="auto"/>
            <w:tcMar>
              <w:top w:w="15" w:type="dxa"/>
              <w:left w:w="108" w:type="dxa"/>
              <w:bottom w:w="0" w:type="dxa"/>
              <w:right w:w="108" w:type="dxa"/>
            </w:tcMar>
            <w:vAlign w:val="center"/>
            <w:hideMark/>
          </w:tcPr>
          <w:p w14:paraId="1D132864" w14:textId="77777777" w:rsidR="00536284" w:rsidRPr="00C429FA" w:rsidRDefault="00536284" w:rsidP="00E509F3">
            <w:pPr>
              <w:spacing w:after="0" w:line="240" w:lineRule="auto"/>
              <w:jc w:val="center"/>
              <w:rPr>
                <w:rFonts w:eastAsia="Times New Roman" w:cs="Arial"/>
                <w:sz w:val="20"/>
                <w:szCs w:val="20"/>
              </w:rPr>
            </w:pPr>
            <w:r w:rsidRPr="00C429FA">
              <w:rPr>
                <w:rFonts w:eastAsia="Times New Roman" w:cs="Arial"/>
                <w:color w:val="000000"/>
                <w:kern w:val="24"/>
                <w:sz w:val="20"/>
                <w:szCs w:val="20"/>
              </w:rPr>
              <w:t>0.2% lower than national Medicare growth trend</w:t>
            </w:r>
          </w:p>
        </w:tc>
      </w:tr>
    </w:tbl>
    <w:p w14:paraId="57BF5E99" w14:textId="6967D0C0" w:rsidR="00536284" w:rsidRPr="00D00D77" w:rsidRDefault="00D00D77" w:rsidP="00D00D77">
      <w:pPr>
        <w:spacing w:before="120" w:after="120" w:line="240" w:lineRule="auto"/>
        <w:rPr>
          <w:rFonts w:eastAsiaTheme="minorEastAsia"/>
          <w:b/>
          <w:sz w:val="20"/>
          <w:szCs w:val="20"/>
        </w:rPr>
      </w:pPr>
      <w:r>
        <w:rPr>
          <w:rFonts w:cs="Times New Roman"/>
          <w:sz w:val="20"/>
          <w:szCs w:val="20"/>
        </w:rPr>
        <w:t>Financial</w:t>
      </w:r>
      <w:r w:rsidR="00536284" w:rsidRPr="00C429FA">
        <w:rPr>
          <w:rFonts w:cs="Times New Roman"/>
          <w:sz w:val="20"/>
          <w:szCs w:val="20"/>
        </w:rPr>
        <w:t xml:space="preserve"> Targets are designed to </w:t>
      </w:r>
      <w:r w:rsidR="00F46260">
        <w:rPr>
          <w:rFonts w:cs="Times New Roman"/>
          <w:sz w:val="20"/>
          <w:szCs w:val="20"/>
        </w:rPr>
        <w:t xml:space="preserve">bring health care spending more in line with state economic growth and national trends to </w:t>
      </w:r>
      <w:r w:rsidR="00536284" w:rsidRPr="00C429FA">
        <w:rPr>
          <w:rFonts w:cs="Times New Roman"/>
          <w:sz w:val="20"/>
          <w:szCs w:val="20"/>
        </w:rPr>
        <w:t>ensure that Vermont achieves cost savings from the All-Payer ACO Model, both for Medicare and for the State of Vermont as a whole</w:t>
      </w:r>
      <w:r w:rsidR="002C1D6C">
        <w:rPr>
          <w:rFonts w:cs="Times New Roman"/>
          <w:sz w:val="20"/>
          <w:szCs w:val="20"/>
        </w:rPr>
        <w:t>.</w:t>
      </w:r>
    </w:p>
    <w:p w14:paraId="639CF6DC" w14:textId="34FBE86B" w:rsidR="00536284" w:rsidRPr="00C429FA" w:rsidRDefault="00D00D77" w:rsidP="00536284">
      <w:pPr>
        <w:spacing w:after="0" w:line="240" w:lineRule="auto"/>
        <w:rPr>
          <w:rFonts w:cs="Times New Roman"/>
          <w:sz w:val="20"/>
          <w:szCs w:val="20"/>
        </w:rPr>
      </w:pPr>
      <w:r w:rsidRPr="00C429FA">
        <w:rPr>
          <w:rFonts w:cs="Times New Roman"/>
          <w:sz w:val="20"/>
          <w:szCs w:val="20"/>
        </w:rPr>
        <w:t>APM Total Cost of Care (TCOC) per Beneficiary is the cost of care per Vermonter for a specified set of services</w:t>
      </w:r>
      <w:r w:rsidRPr="00536284">
        <w:rPr>
          <w:rFonts w:cs="Times New Roman"/>
          <w:sz w:val="20"/>
          <w:szCs w:val="20"/>
        </w:rPr>
        <w:t>.</w:t>
      </w:r>
      <w:r>
        <w:rPr>
          <w:rFonts w:cs="Times New Roman"/>
          <w:sz w:val="20"/>
          <w:szCs w:val="20"/>
        </w:rPr>
        <w:t xml:space="preserve"> </w:t>
      </w:r>
      <w:r w:rsidR="00536284" w:rsidRPr="00C429FA">
        <w:rPr>
          <w:rFonts w:cs="Times New Roman"/>
          <w:sz w:val="20"/>
          <w:szCs w:val="20"/>
        </w:rPr>
        <w:t>APM TCOC differs from other measures of health system cost such as ACO spending per beneficiary, total Vermont health care expenditures, and hospital net patient revenue; it is limited to a specific population and set of services.</w:t>
      </w:r>
    </w:p>
    <w:p w14:paraId="17B7499D" w14:textId="77777777" w:rsidR="00536284" w:rsidRPr="00C429FA" w:rsidRDefault="00536284" w:rsidP="00536284">
      <w:pPr>
        <w:spacing w:before="120" w:after="120" w:line="240" w:lineRule="auto"/>
        <w:contextualSpacing/>
        <w:rPr>
          <w:b/>
          <w:i/>
          <w:sz w:val="20"/>
          <w:szCs w:val="20"/>
        </w:rPr>
      </w:pPr>
    </w:p>
    <w:p w14:paraId="6D8FD0E4" w14:textId="7D4D7FB9" w:rsidR="00536284" w:rsidRDefault="00536284" w:rsidP="00536284">
      <w:pPr>
        <w:spacing w:before="120" w:after="120" w:line="240" w:lineRule="auto"/>
        <w:rPr>
          <w:b/>
          <w:i/>
          <w:sz w:val="20"/>
          <w:szCs w:val="20"/>
        </w:rPr>
      </w:pPr>
      <w:r w:rsidRPr="00C429FA">
        <w:rPr>
          <w:b/>
          <w:i/>
          <w:sz w:val="20"/>
          <w:szCs w:val="20"/>
        </w:rPr>
        <w:t xml:space="preserve">Calculating All-Payer TCOC </w:t>
      </w:r>
    </w:p>
    <w:p w14:paraId="2129CB8D" w14:textId="5B72B710" w:rsidR="008677BE" w:rsidRPr="00C429FA" w:rsidRDefault="008677BE" w:rsidP="00536284">
      <w:pPr>
        <w:spacing w:before="120" w:after="120" w:line="240" w:lineRule="auto"/>
        <w:contextualSpacing/>
        <w:rPr>
          <w:b/>
          <w:i/>
          <w:sz w:val="20"/>
          <w:szCs w:val="20"/>
        </w:rPr>
      </w:pPr>
      <w:r w:rsidRPr="008677BE">
        <w:rPr>
          <w:rFonts w:cs="Times New Roman"/>
          <w:sz w:val="20"/>
          <w:szCs w:val="20"/>
        </w:rPr>
        <w:t>Vermont All-Payer TCOC per Beneficiary Growth will be calculated in aggregate as a compounded annualized growth rate across PYs 1-5, using 2017 as a baseline.</w:t>
      </w:r>
    </w:p>
    <w:p w14:paraId="414DB842" w14:textId="77777777" w:rsidR="00536284" w:rsidRPr="00C429FA" w:rsidRDefault="00536284" w:rsidP="00536284">
      <w:pPr>
        <w:pBdr>
          <w:bottom w:val="single" w:sz="6" w:space="1" w:color="auto"/>
        </w:pBdr>
        <w:spacing w:after="0" w:line="240" w:lineRule="auto"/>
        <w:ind w:left="2880" w:right="2880"/>
        <w:contextualSpacing/>
        <w:jc w:val="center"/>
        <w:rPr>
          <w:sz w:val="20"/>
          <w:szCs w:val="20"/>
        </w:rPr>
      </w:pPr>
      <w:r w:rsidRPr="00C429FA">
        <w:rPr>
          <w:sz w:val="20"/>
          <w:szCs w:val="20"/>
        </w:rPr>
        <w:t>Vermont All-Payer TCOC</w:t>
      </w:r>
    </w:p>
    <w:p w14:paraId="5DA29883" w14:textId="77777777" w:rsidR="00536284" w:rsidRPr="00C429FA" w:rsidRDefault="00536284" w:rsidP="008677BE">
      <w:pPr>
        <w:spacing w:after="120" w:line="240" w:lineRule="auto"/>
        <w:ind w:left="2880" w:right="2880"/>
        <w:jc w:val="center"/>
        <w:rPr>
          <w:sz w:val="20"/>
          <w:szCs w:val="20"/>
        </w:rPr>
      </w:pPr>
      <w:r w:rsidRPr="00C429FA">
        <w:rPr>
          <w:sz w:val="20"/>
          <w:szCs w:val="20"/>
        </w:rPr>
        <w:t>Vermont All-Payer TCOC Beneficiaries</w:t>
      </w:r>
    </w:p>
    <w:p w14:paraId="41C1BFF1" w14:textId="3237397F" w:rsidR="00536284" w:rsidRPr="00C429FA" w:rsidRDefault="00536284" w:rsidP="00536284">
      <w:pPr>
        <w:pStyle w:val="ListParagraph"/>
        <w:numPr>
          <w:ilvl w:val="0"/>
          <w:numId w:val="41"/>
        </w:numPr>
        <w:spacing w:after="120" w:line="240" w:lineRule="auto"/>
        <w:ind w:left="180" w:hanging="180"/>
        <w:rPr>
          <w:sz w:val="20"/>
          <w:szCs w:val="20"/>
          <w:u w:val="single"/>
        </w:rPr>
      </w:pPr>
      <w:r w:rsidRPr="00C429FA">
        <w:rPr>
          <w:sz w:val="20"/>
          <w:szCs w:val="20"/>
        </w:rPr>
        <w:t xml:space="preserve">The Vermont All-Payer TCOC numerator includes spending on Medicare </w:t>
      </w:r>
      <w:r w:rsidRPr="00C429FA">
        <w:rPr>
          <w:bCs/>
          <w:sz w:val="20"/>
          <w:szCs w:val="20"/>
        </w:rPr>
        <w:t>Part A and B-equivalent services, though services vary somewhat by payer type. Payments include health care claims and some non-claims payments (prospective payments, shared savings payments, Blueprint for Health payments, etc.).</w:t>
      </w:r>
    </w:p>
    <w:p w14:paraId="40ED5F09" w14:textId="77777777" w:rsidR="00536284" w:rsidRPr="00C429FA" w:rsidRDefault="00536284" w:rsidP="00536284">
      <w:pPr>
        <w:pStyle w:val="ListParagraph"/>
        <w:numPr>
          <w:ilvl w:val="0"/>
          <w:numId w:val="41"/>
        </w:numPr>
        <w:spacing w:after="120" w:line="240" w:lineRule="auto"/>
        <w:ind w:left="180" w:hanging="180"/>
        <w:rPr>
          <w:sz w:val="20"/>
          <w:szCs w:val="20"/>
          <w:u w:val="single"/>
        </w:rPr>
      </w:pPr>
      <w:r w:rsidRPr="00C429FA">
        <w:rPr>
          <w:sz w:val="20"/>
          <w:szCs w:val="20"/>
        </w:rPr>
        <w:t xml:space="preserve">The Vermont All-Payer TCOC denominator includes all insured Vermonters, excluding members of plans without a Certificate of Authority from the Vermont Department of Financial Regulation, and </w:t>
      </w:r>
      <w:r>
        <w:rPr>
          <w:sz w:val="20"/>
          <w:szCs w:val="20"/>
        </w:rPr>
        <w:t xml:space="preserve">excluding </w:t>
      </w:r>
      <w:r w:rsidRPr="00C429FA">
        <w:rPr>
          <w:sz w:val="20"/>
          <w:szCs w:val="20"/>
        </w:rPr>
        <w:t xml:space="preserve">self-funded employer plans that decline to submit data to </w:t>
      </w:r>
      <w:r>
        <w:rPr>
          <w:sz w:val="20"/>
          <w:szCs w:val="20"/>
        </w:rPr>
        <w:t xml:space="preserve">Vermont’s all-payer claims database, </w:t>
      </w:r>
      <w:r w:rsidRPr="00C429FA">
        <w:rPr>
          <w:sz w:val="20"/>
          <w:szCs w:val="20"/>
        </w:rPr>
        <w:t>VHCURES</w:t>
      </w:r>
      <w:r>
        <w:rPr>
          <w:sz w:val="20"/>
          <w:szCs w:val="20"/>
        </w:rPr>
        <w:t>.</w:t>
      </w:r>
      <w:r w:rsidRPr="00C429FA">
        <w:rPr>
          <w:sz w:val="20"/>
          <w:szCs w:val="20"/>
        </w:rPr>
        <w:t xml:space="preserve"> </w:t>
      </w:r>
    </w:p>
    <w:p w14:paraId="593A0571" w14:textId="0F3E4073" w:rsidR="008677BE" w:rsidRPr="008677BE" w:rsidRDefault="00536284" w:rsidP="008677BE">
      <w:pPr>
        <w:pStyle w:val="ListParagraph"/>
        <w:numPr>
          <w:ilvl w:val="0"/>
          <w:numId w:val="41"/>
        </w:numPr>
        <w:spacing w:after="0" w:line="240" w:lineRule="auto"/>
        <w:ind w:left="180" w:hanging="180"/>
        <w:rPr>
          <w:sz w:val="20"/>
          <w:szCs w:val="20"/>
        </w:rPr>
      </w:pPr>
      <w:r w:rsidRPr="00C429FA">
        <w:rPr>
          <w:sz w:val="20"/>
          <w:szCs w:val="20"/>
        </w:rPr>
        <w:t>Cost data and denominator totals are derived from VHCURES.</w:t>
      </w:r>
    </w:p>
    <w:p w14:paraId="50FB83E7" w14:textId="77777777" w:rsidR="008677BE" w:rsidRDefault="008677BE" w:rsidP="008677BE">
      <w:pPr>
        <w:spacing w:after="0" w:line="240" w:lineRule="auto"/>
        <w:rPr>
          <w:b/>
          <w:i/>
          <w:sz w:val="20"/>
          <w:szCs w:val="20"/>
        </w:rPr>
      </w:pPr>
    </w:p>
    <w:p w14:paraId="1AF05F17" w14:textId="42B5BC09" w:rsidR="00536284" w:rsidRPr="00C429FA" w:rsidRDefault="00536284" w:rsidP="008677BE">
      <w:pPr>
        <w:spacing w:after="120" w:line="240" w:lineRule="auto"/>
        <w:rPr>
          <w:b/>
          <w:i/>
          <w:sz w:val="20"/>
          <w:szCs w:val="20"/>
        </w:rPr>
      </w:pPr>
      <w:r w:rsidRPr="00C429FA">
        <w:rPr>
          <w:b/>
          <w:i/>
          <w:sz w:val="20"/>
          <w:szCs w:val="20"/>
        </w:rPr>
        <w:t xml:space="preserve">Calculating Medicare TCOC </w:t>
      </w:r>
    </w:p>
    <w:p w14:paraId="6FC21F0F" w14:textId="77777777" w:rsidR="008677BE" w:rsidRPr="00C429FA" w:rsidRDefault="008677BE" w:rsidP="008677BE">
      <w:pPr>
        <w:spacing w:after="0" w:line="240" w:lineRule="auto"/>
        <w:rPr>
          <w:sz w:val="20"/>
          <w:szCs w:val="20"/>
        </w:rPr>
      </w:pPr>
      <w:r w:rsidRPr="00C429FA">
        <w:rPr>
          <w:sz w:val="20"/>
          <w:szCs w:val="20"/>
        </w:rPr>
        <w:t>Vermont Medicare TCOC per Beneficiary Growth will be calculated as a compounded annualized growth rate across PYs 1-5, adjusting for the proportion of the population with end-stage renal disease.</w:t>
      </w:r>
    </w:p>
    <w:p w14:paraId="127CB1AD" w14:textId="77777777" w:rsidR="00536284" w:rsidRPr="00C429FA" w:rsidRDefault="00536284" w:rsidP="00536284">
      <w:pPr>
        <w:spacing w:before="120" w:after="120" w:line="240" w:lineRule="auto"/>
        <w:rPr>
          <w:i/>
          <w:sz w:val="20"/>
          <w:szCs w:val="20"/>
        </w:rPr>
      </w:pPr>
      <w:r w:rsidRPr="00C429FA">
        <w:rPr>
          <w:i/>
          <w:sz w:val="20"/>
          <w:szCs w:val="20"/>
        </w:rPr>
        <w:t xml:space="preserve">In PY1-2 (and PY3, if Medicare scale target of 65% </w:t>
      </w:r>
      <w:r w:rsidRPr="00C429FA">
        <w:rPr>
          <w:i/>
          <w:sz w:val="20"/>
          <w:szCs w:val="20"/>
          <w:u w:val="single"/>
        </w:rPr>
        <w:t>is not</w:t>
      </w:r>
      <w:r w:rsidRPr="00C429FA">
        <w:rPr>
          <w:i/>
          <w:sz w:val="20"/>
          <w:szCs w:val="20"/>
        </w:rPr>
        <w:t xml:space="preserve"> achieved):</w:t>
      </w:r>
    </w:p>
    <w:p w14:paraId="54B8F5CA" w14:textId="77777777" w:rsidR="00536284" w:rsidRPr="00C429FA" w:rsidRDefault="00536284" w:rsidP="00536284">
      <w:pPr>
        <w:pBdr>
          <w:bottom w:val="single" w:sz="6" w:space="1" w:color="auto"/>
        </w:pBdr>
        <w:spacing w:after="0" w:line="240" w:lineRule="auto"/>
        <w:ind w:left="1800" w:right="1800"/>
        <w:contextualSpacing/>
        <w:jc w:val="center"/>
        <w:rPr>
          <w:sz w:val="20"/>
          <w:szCs w:val="20"/>
        </w:rPr>
      </w:pPr>
      <w:r w:rsidRPr="00C429FA">
        <w:rPr>
          <w:sz w:val="20"/>
          <w:szCs w:val="20"/>
        </w:rPr>
        <w:t xml:space="preserve">TCOC for Vermont Medicare Beneficiaries Aligned to a Scale Target ACO </w:t>
      </w:r>
    </w:p>
    <w:p w14:paraId="56BA2C36" w14:textId="77777777" w:rsidR="00536284" w:rsidRPr="00C429FA" w:rsidRDefault="00536284" w:rsidP="00536284">
      <w:pPr>
        <w:spacing w:after="120" w:line="240" w:lineRule="auto"/>
        <w:ind w:left="1800" w:right="1800"/>
        <w:jc w:val="center"/>
        <w:rPr>
          <w:sz w:val="20"/>
          <w:szCs w:val="20"/>
        </w:rPr>
      </w:pPr>
      <w:r w:rsidRPr="00C429FA">
        <w:rPr>
          <w:sz w:val="20"/>
          <w:szCs w:val="20"/>
        </w:rPr>
        <w:t>Vermont Medicare Beneficiaries Aligned to a Scale Target ACO</w:t>
      </w:r>
    </w:p>
    <w:p w14:paraId="3F3EE7B0" w14:textId="77777777" w:rsidR="00536284" w:rsidRPr="00C429FA" w:rsidRDefault="00536284" w:rsidP="00536284">
      <w:pPr>
        <w:spacing w:before="120" w:after="120" w:line="240" w:lineRule="auto"/>
        <w:rPr>
          <w:i/>
          <w:sz w:val="20"/>
          <w:szCs w:val="20"/>
        </w:rPr>
      </w:pPr>
      <w:r w:rsidRPr="00C429FA">
        <w:rPr>
          <w:i/>
          <w:sz w:val="20"/>
          <w:szCs w:val="20"/>
        </w:rPr>
        <w:t xml:space="preserve">In PY4-5 (and PY3, if Medicare scale target of 65% </w:t>
      </w:r>
      <w:r w:rsidRPr="00C429FA">
        <w:rPr>
          <w:i/>
          <w:sz w:val="20"/>
          <w:szCs w:val="20"/>
          <w:u w:val="single"/>
        </w:rPr>
        <w:t>is</w:t>
      </w:r>
      <w:r w:rsidRPr="00C429FA">
        <w:rPr>
          <w:i/>
          <w:sz w:val="20"/>
          <w:szCs w:val="20"/>
        </w:rPr>
        <w:t xml:space="preserve"> achieved):</w:t>
      </w:r>
    </w:p>
    <w:p w14:paraId="6B4B1D22" w14:textId="77777777" w:rsidR="00536284" w:rsidRPr="00C429FA" w:rsidRDefault="00536284" w:rsidP="00536284">
      <w:pPr>
        <w:pBdr>
          <w:bottom w:val="single" w:sz="6" w:space="1" w:color="auto"/>
        </w:pBdr>
        <w:spacing w:after="0" w:line="240" w:lineRule="auto"/>
        <w:ind w:left="1080" w:right="1080"/>
        <w:contextualSpacing/>
        <w:jc w:val="center"/>
        <w:rPr>
          <w:sz w:val="20"/>
          <w:szCs w:val="20"/>
        </w:rPr>
      </w:pPr>
      <w:r w:rsidRPr="00C429FA">
        <w:rPr>
          <w:sz w:val="20"/>
          <w:szCs w:val="20"/>
        </w:rPr>
        <w:t>TCOC for All Vermont Medicare Beneficiaries</w:t>
      </w:r>
    </w:p>
    <w:p w14:paraId="3BA98528" w14:textId="77777777" w:rsidR="00536284" w:rsidRPr="00C429FA" w:rsidRDefault="00536284" w:rsidP="00536284">
      <w:pPr>
        <w:spacing w:after="120" w:line="240" w:lineRule="auto"/>
        <w:jc w:val="center"/>
        <w:rPr>
          <w:sz w:val="20"/>
          <w:szCs w:val="20"/>
        </w:rPr>
      </w:pPr>
      <w:r w:rsidRPr="00C429FA">
        <w:rPr>
          <w:sz w:val="20"/>
          <w:szCs w:val="20"/>
        </w:rPr>
        <w:t>All Vermont Medicare Beneficiaries (includes dual eligibles, excludes Medicare Advantage)</w:t>
      </w:r>
    </w:p>
    <w:p w14:paraId="71662745" w14:textId="77777777" w:rsidR="00536284" w:rsidRPr="00C429FA" w:rsidRDefault="00536284" w:rsidP="00536284">
      <w:pPr>
        <w:pStyle w:val="ListParagraph"/>
        <w:numPr>
          <w:ilvl w:val="0"/>
          <w:numId w:val="41"/>
        </w:numPr>
        <w:spacing w:after="120" w:line="240" w:lineRule="auto"/>
        <w:ind w:left="180" w:hanging="180"/>
        <w:rPr>
          <w:sz w:val="20"/>
          <w:szCs w:val="20"/>
        </w:rPr>
      </w:pPr>
      <w:r w:rsidRPr="00C429FA">
        <w:rPr>
          <w:sz w:val="20"/>
          <w:szCs w:val="20"/>
        </w:rPr>
        <w:t xml:space="preserve">The Vermont Medicare TCOC numerator includes spending on Medicare Part A and B services. </w:t>
      </w:r>
    </w:p>
    <w:p w14:paraId="76FD76CD" w14:textId="77777777" w:rsidR="00536284" w:rsidRPr="00C429FA" w:rsidRDefault="00536284" w:rsidP="00536284">
      <w:pPr>
        <w:pStyle w:val="ListParagraph"/>
        <w:numPr>
          <w:ilvl w:val="0"/>
          <w:numId w:val="41"/>
        </w:numPr>
        <w:spacing w:after="120" w:line="240" w:lineRule="auto"/>
        <w:ind w:left="180" w:hanging="180"/>
        <w:rPr>
          <w:sz w:val="20"/>
          <w:szCs w:val="20"/>
        </w:rPr>
      </w:pPr>
      <w:r w:rsidRPr="00C429FA">
        <w:rPr>
          <w:sz w:val="20"/>
          <w:szCs w:val="20"/>
        </w:rPr>
        <w:t>The Vermont Medicare TCOC denominator includes ACO-attributed Vermont Medicare beneficiaries in PY1-2 (and PY3 if Medicare scale target is not achieved). The Vermont Medicare TCOC denominator includes all Vermont Medicare beneficiaries in PY4-5 (and PY3, if Medicare scale is achieved).</w:t>
      </w:r>
    </w:p>
    <w:p w14:paraId="74C396AC" w14:textId="69B8E907" w:rsidR="00536284" w:rsidRPr="008677BE" w:rsidRDefault="00536284" w:rsidP="008677BE">
      <w:pPr>
        <w:pStyle w:val="ListParagraph"/>
        <w:numPr>
          <w:ilvl w:val="0"/>
          <w:numId w:val="41"/>
        </w:numPr>
        <w:spacing w:after="0" w:line="240" w:lineRule="auto"/>
        <w:ind w:left="180" w:hanging="180"/>
        <w:rPr>
          <w:sz w:val="20"/>
          <w:szCs w:val="20"/>
          <w:u w:val="single"/>
        </w:rPr>
      </w:pPr>
      <w:r w:rsidRPr="00C429FA">
        <w:rPr>
          <w:sz w:val="20"/>
          <w:szCs w:val="20"/>
        </w:rPr>
        <w:t>Data is</w:t>
      </w:r>
      <w:r w:rsidRPr="00C429FA">
        <w:rPr>
          <w:bCs/>
          <w:sz w:val="20"/>
          <w:szCs w:val="20"/>
        </w:rPr>
        <w:t xml:space="preserve"> obtained from CMS reports and validated using ACO reports and VHCURES.</w:t>
      </w:r>
    </w:p>
    <w:p w14:paraId="56C1791A" w14:textId="77777777" w:rsidR="008677BE" w:rsidRDefault="008677BE" w:rsidP="008677BE">
      <w:pPr>
        <w:spacing w:after="0" w:line="240" w:lineRule="auto"/>
        <w:rPr>
          <w:b/>
          <w:i/>
          <w:sz w:val="20"/>
          <w:szCs w:val="20"/>
        </w:rPr>
      </w:pPr>
    </w:p>
    <w:p w14:paraId="574FAD9D" w14:textId="57E45E83" w:rsidR="008677BE" w:rsidRPr="00C429FA" w:rsidRDefault="008677BE" w:rsidP="008677BE">
      <w:pPr>
        <w:spacing w:after="120" w:line="240" w:lineRule="auto"/>
        <w:rPr>
          <w:b/>
          <w:i/>
          <w:sz w:val="20"/>
          <w:szCs w:val="20"/>
        </w:rPr>
      </w:pPr>
      <w:r>
        <w:rPr>
          <w:b/>
          <w:i/>
          <w:sz w:val="20"/>
          <w:szCs w:val="20"/>
        </w:rPr>
        <w:t>Process for Calculating</w:t>
      </w:r>
      <w:r w:rsidRPr="00C429FA">
        <w:rPr>
          <w:b/>
          <w:i/>
          <w:sz w:val="20"/>
          <w:szCs w:val="20"/>
        </w:rPr>
        <w:t xml:space="preserve"> TCOC </w:t>
      </w:r>
    </w:p>
    <w:p w14:paraId="58C0B93E" w14:textId="1023376A" w:rsidR="008677BE" w:rsidRPr="008677BE" w:rsidRDefault="008677BE" w:rsidP="008677BE">
      <w:pPr>
        <w:spacing w:after="120" w:line="240" w:lineRule="auto"/>
        <w:rPr>
          <w:sz w:val="20"/>
          <w:szCs w:val="20"/>
        </w:rPr>
      </w:pPr>
      <w:r w:rsidRPr="008677BE">
        <w:rPr>
          <w:sz w:val="20"/>
          <w:szCs w:val="20"/>
        </w:rPr>
        <w:t xml:space="preserve">The Green Mountain Care Board </w:t>
      </w:r>
      <w:r w:rsidR="00F46260">
        <w:rPr>
          <w:sz w:val="20"/>
          <w:szCs w:val="20"/>
        </w:rPr>
        <w:t xml:space="preserve">developed </w:t>
      </w:r>
      <w:r w:rsidRPr="008677BE">
        <w:rPr>
          <w:sz w:val="20"/>
          <w:szCs w:val="20"/>
        </w:rPr>
        <w:t>complete specifications for calculating TCOC and Vermont’s performance</w:t>
      </w:r>
      <w:r w:rsidR="00F46260">
        <w:rPr>
          <w:sz w:val="20"/>
          <w:szCs w:val="20"/>
        </w:rPr>
        <w:t>, which</w:t>
      </w:r>
      <w:r w:rsidRPr="008677BE">
        <w:rPr>
          <w:sz w:val="20"/>
          <w:szCs w:val="20"/>
        </w:rPr>
        <w:t xml:space="preserve"> CMMI reviewed </w:t>
      </w:r>
      <w:bookmarkStart w:id="1" w:name="_GoBack"/>
      <w:bookmarkEnd w:id="1"/>
      <w:r w:rsidRPr="008677BE">
        <w:rPr>
          <w:sz w:val="20"/>
          <w:szCs w:val="20"/>
        </w:rPr>
        <w:t xml:space="preserve">in 2018. </w:t>
      </w:r>
    </w:p>
    <w:p w14:paraId="61795B9A" w14:textId="12D7BEE5" w:rsidR="00691343" w:rsidRPr="00C429FA" w:rsidRDefault="008677BE" w:rsidP="00691343">
      <w:pPr>
        <w:spacing w:after="120" w:line="240" w:lineRule="auto"/>
        <w:rPr>
          <w:rFonts w:ascii="Times New Roman" w:hAnsi="Times New Roman"/>
          <w:sz w:val="20"/>
          <w:szCs w:val="20"/>
        </w:rPr>
      </w:pPr>
      <w:r w:rsidRPr="008677BE">
        <w:rPr>
          <w:sz w:val="20"/>
          <w:szCs w:val="20"/>
        </w:rPr>
        <w:t>Quarterly TCOC reports are produced 9 months following the end of each fiscal quarter to allow for claims runout, processing, and vetting with payers at the ACO. The first quarterly TCOC report, for Q1 2018, was submitted to CMMI in March 2019 following delays in</w:t>
      </w:r>
      <w:r w:rsidR="00F46260">
        <w:rPr>
          <w:sz w:val="20"/>
          <w:szCs w:val="20"/>
        </w:rPr>
        <w:t xml:space="preserve"> Medicare</w:t>
      </w:r>
      <w:r w:rsidRPr="008677BE">
        <w:rPr>
          <w:sz w:val="20"/>
          <w:szCs w:val="20"/>
        </w:rPr>
        <w:t xml:space="preserve"> data receipt. Annual summary reports are available in September of the following Performance Year.</w:t>
      </w:r>
    </w:p>
    <w:p w14:paraId="2094A175" w14:textId="1B296C4A" w:rsidR="00845D73" w:rsidRPr="00C429FA" w:rsidRDefault="00C429FA" w:rsidP="00C429FA">
      <w:pPr>
        <w:spacing w:after="120" w:line="240" w:lineRule="auto"/>
        <w:rPr>
          <w:rFonts w:ascii="Times New Roman" w:hAnsi="Times New Roman"/>
          <w:sz w:val="20"/>
          <w:szCs w:val="20"/>
        </w:rPr>
      </w:pPr>
      <w:r w:rsidRPr="00C429FA">
        <w:rPr>
          <w:rFonts w:ascii="Times New Roman" w:hAnsi="Times New Roman"/>
          <w:sz w:val="20"/>
          <w:szCs w:val="20"/>
        </w:rPr>
        <w:t xml:space="preserve"> </w:t>
      </w:r>
    </w:p>
    <w:sectPr w:rsidR="00845D73" w:rsidRPr="00C429FA" w:rsidSect="00116E7B">
      <w:footerReference w:type="default" r:id="rId8"/>
      <w:pgSz w:w="12240" w:h="15840"/>
      <w:pgMar w:top="720" w:right="720" w:bottom="720" w:left="72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6D254" w14:textId="77777777" w:rsidR="00D44EC2" w:rsidRDefault="00D44EC2" w:rsidP="002E3E35">
      <w:pPr>
        <w:spacing w:line="240" w:lineRule="auto"/>
      </w:pPr>
      <w:r>
        <w:separator/>
      </w:r>
    </w:p>
  </w:endnote>
  <w:endnote w:type="continuationSeparator" w:id="0">
    <w:p w14:paraId="47F4EDE6" w14:textId="77777777" w:rsidR="00D44EC2" w:rsidRDefault="00D44EC2"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DF4BB" w14:textId="4E2B2D4B" w:rsidR="00C5604A" w:rsidRPr="00E476BB" w:rsidRDefault="005F3407" w:rsidP="00933C8E">
    <w:pPr>
      <w:pStyle w:val="Footer"/>
      <w:pBdr>
        <w:top w:val="single" w:sz="2" w:space="0" w:color="auto"/>
        <w:bottom w:val="none" w:sz="0" w:space="0" w:color="auto"/>
      </w:pBdr>
      <w:rPr>
        <w:rStyle w:val="PageNumber"/>
        <w:sz w:val="18"/>
      </w:rPr>
    </w:pPr>
    <w:sdt>
      <w:sdtPr>
        <w:rPr>
          <w:rFonts w:ascii="Calibri" w:eastAsia="Calibri" w:hAnsi="Calibri" w:cs="Times New Roman"/>
          <w:sz w:val="18"/>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E476BB">
          <w:rPr>
            <w:rFonts w:ascii="Calibri" w:eastAsia="Calibri" w:hAnsi="Calibri" w:cs="Times New Roman"/>
            <w:sz w:val="18"/>
          </w:rPr>
          <w:t xml:space="preserve">Last </w:t>
        </w:r>
        <w:r w:rsidR="00C5604A" w:rsidRPr="00E476BB">
          <w:rPr>
            <w:rFonts w:ascii="Calibri" w:eastAsia="Calibri" w:hAnsi="Calibri" w:cs="Times New Roman"/>
            <w:sz w:val="18"/>
          </w:rPr>
          <w:t>Updated</w:t>
        </w:r>
        <w:r w:rsidR="00E476BB">
          <w:rPr>
            <w:rFonts w:ascii="Calibri" w:eastAsia="Calibri" w:hAnsi="Calibri" w:cs="Times New Roman"/>
            <w:sz w:val="18"/>
          </w:rPr>
          <w:t>:</w:t>
        </w:r>
        <w:r w:rsidR="00C5604A" w:rsidRPr="00E476BB">
          <w:rPr>
            <w:rFonts w:ascii="Calibri" w:eastAsia="Calibri" w:hAnsi="Calibri" w:cs="Times New Roman"/>
            <w:sz w:val="18"/>
          </w:rPr>
          <w:t xml:space="preserve"> </w:t>
        </w:r>
        <w:r w:rsidR="00E476BB" w:rsidRPr="00E476BB">
          <w:rPr>
            <w:rFonts w:ascii="Calibri" w:eastAsia="Calibri" w:hAnsi="Calibri" w:cs="Times New Roman"/>
            <w:sz w:val="18"/>
          </w:rPr>
          <w:t>3/</w:t>
        </w:r>
        <w:r w:rsidR="002C1D6C">
          <w:rPr>
            <w:rFonts w:ascii="Calibri" w:eastAsia="Calibri" w:hAnsi="Calibri" w:cs="Times New Roman"/>
            <w:sz w:val="18"/>
          </w:rPr>
          <w:t>15</w:t>
        </w:r>
        <w:r w:rsidR="00C5604A" w:rsidRPr="00E476BB">
          <w:rPr>
            <w:rFonts w:ascii="Calibri" w:eastAsia="Calibri" w:hAnsi="Calibri" w:cs="Times New Roman"/>
            <w:sz w:val="18"/>
          </w:rP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115EA" w14:textId="77777777" w:rsidR="00D44EC2" w:rsidRPr="002954E8" w:rsidRDefault="00D44EC2" w:rsidP="002954E8">
      <w:pPr>
        <w:spacing w:after="0" w:line="240" w:lineRule="auto"/>
        <w:rPr>
          <w:sz w:val="6"/>
          <w:szCs w:val="6"/>
        </w:rPr>
      </w:pPr>
      <w:r w:rsidRPr="002954E8">
        <w:rPr>
          <w:sz w:val="6"/>
          <w:szCs w:val="6"/>
        </w:rPr>
        <w:separator/>
      </w:r>
    </w:p>
  </w:footnote>
  <w:footnote w:type="continuationSeparator" w:id="0">
    <w:p w14:paraId="3698CA20" w14:textId="77777777" w:rsidR="00D44EC2" w:rsidRDefault="00D44EC2" w:rsidP="00203E3B">
      <w:pPr>
        <w:spacing w:line="240" w:lineRule="auto"/>
      </w:pPr>
      <w:r>
        <w:separator/>
      </w:r>
    </w:p>
    <w:p w14:paraId="1E8EF5A2" w14:textId="77777777" w:rsidR="00D44EC2" w:rsidRPr="00157CA2" w:rsidRDefault="00D44EC2" w:rsidP="00203E3B">
      <w:pPr>
        <w:spacing w:after="120" w:line="240" w:lineRule="auto"/>
        <w:rPr>
          <w:sz w:val="20"/>
        </w:rPr>
      </w:pPr>
      <w:r w:rsidRPr="00157CA2">
        <w:rPr>
          <w:i/>
          <w:sz w:val="20"/>
        </w:rP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77013"/>
    <w:multiLevelType w:val="hybridMultilevel"/>
    <w:tmpl w:val="AD2AA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10A12588"/>
    <w:multiLevelType w:val="hybridMultilevel"/>
    <w:tmpl w:val="669A8C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1346B"/>
    <w:multiLevelType w:val="hybridMultilevel"/>
    <w:tmpl w:val="669A8C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E0AC7"/>
    <w:multiLevelType w:val="hybridMultilevel"/>
    <w:tmpl w:val="6E981EB6"/>
    <w:lvl w:ilvl="0" w:tplc="04090001">
      <w:start w:val="1"/>
      <w:numFmt w:val="bullet"/>
      <w:lvlText w:val=""/>
      <w:lvlJc w:val="left"/>
      <w:pPr>
        <w:ind w:left="56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7" w15:restartNumberingAfterBreak="0">
    <w:nsid w:val="4D6D0E78"/>
    <w:multiLevelType w:val="hybridMultilevel"/>
    <w:tmpl w:val="4454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8637B0E"/>
    <w:multiLevelType w:val="hybridMultilevel"/>
    <w:tmpl w:val="2F3C8FC4"/>
    <w:lvl w:ilvl="0" w:tplc="C010A8A4">
      <w:start w:val="1"/>
      <w:numFmt w:val="bullet"/>
      <w:lvlText w:val="•"/>
      <w:lvlJc w:val="left"/>
      <w:pPr>
        <w:tabs>
          <w:tab w:val="num" w:pos="720"/>
        </w:tabs>
        <w:ind w:left="720" w:hanging="360"/>
      </w:pPr>
      <w:rPr>
        <w:rFonts w:ascii="Arial" w:hAnsi="Arial" w:hint="default"/>
      </w:rPr>
    </w:lvl>
    <w:lvl w:ilvl="1" w:tplc="24C8689C" w:tentative="1">
      <w:start w:val="1"/>
      <w:numFmt w:val="bullet"/>
      <w:lvlText w:val="•"/>
      <w:lvlJc w:val="left"/>
      <w:pPr>
        <w:tabs>
          <w:tab w:val="num" w:pos="1440"/>
        </w:tabs>
        <w:ind w:left="1440" w:hanging="360"/>
      </w:pPr>
      <w:rPr>
        <w:rFonts w:ascii="Arial" w:hAnsi="Arial" w:hint="default"/>
      </w:rPr>
    </w:lvl>
    <w:lvl w:ilvl="2" w:tplc="96526A84" w:tentative="1">
      <w:start w:val="1"/>
      <w:numFmt w:val="bullet"/>
      <w:lvlText w:val="•"/>
      <w:lvlJc w:val="left"/>
      <w:pPr>
        <w:tabs>
          <w:tab w:val="num" w:pos="2160"/>
        </w:tabs>
        <w:ind w:left="2160" w:hanging="360"/>
      </w:pPr>
      <w:rPr>
        <w:rFonts w:ascii="Arial" w:hAnsi="Arial" w:hint="default"/>
      </w:rPr>
    </w:lvl>
    <w:lvl w:ilvl="3" w:tplc="A3EC0984" w:tentative="1">
      <w:start w:val="1"/>
      <w:numFmt w:val="bullet"/>
      <w:lvlText w:val="•"/>
      <w:lvlJc w:val="left"/>
      <w:pPr>
        <w:tabs>
          <w:tab w:val="num" w:pos="2880"/>
        </w:tabs>
        <w:ind w:left="2880" w:hanging="360"/>
      </w:pPr>
      <w:rPr>
        <w:rFonts w:ascii="Arial" w:hAnsi="Arial" w:hint="default"/>
      </w:rPr>
    </w:lvl>
    <w:lvl w:ilvl="4" w:tplc="9252E396" w:tentative="1">
      <w:start w:val="1"/>
      <w:numFmt w:val="bullet"/>
      <w:lvlText w:val="•"/>
      <w:lvlJc w:val="left"/>
      <w:pPr>
        <w:tabs>
          <w:tab w:val="num" w:pos="3600"/>
        </w:tabs>
        <w:ind w:left="3600" w:hanging="360"/>
      </w:pPr>
      <w:rPr>
        <w:rFonts w:ascii="Arial" w:hAnsi="Arial" w:hint="default"/>
      </w:rPr>
    </w:lvl>
    <w:lvl w:ilvl="5" w:tplc="8924AE22" w:tentative="1">
      <w:start w:val="1"/>
      <w:numFmt w:val="bullet"/>
      <w:lvlText w:val="•"/>
      <w:lvlJc w:val="left"/>
      <w:pPr>
        <w:tabs>
          <w:tab w:val="num" w:pos="4320"/>
        </w:tabs>
        <w:ind w:left="4320" w:hanging="360"/>
      </w:pPr>
      <w:rPr>
        <w:rFonts w:ascii="Arial" w:hAnsi="Arial" w:hint="default"/>
      </w:rPr>
    </w:lvl>
    <w:lvl w:ilvl="6" w:tplc="F432D460" w:tentative="1">
      <w:start w:val="1"/>
      <w:numFmt w:val="bullet"/>
      <w:lvlText w:val="•"/>
      <w:lvlJc w:val="left"/>
      <w:pPr>
        <w:tabs>
          <w:tab w:val="num" w:pos="5040"/>
        </w:tabs>
        <w:ind w:left="5040" w:hanging="360"/>
      </w:pPr>
      <w:rPr>
        <w:rFonts w:ascii="Arial" w:hAnsi="Arial" w:hint="default"/>
      </w:rPr>
    </w:lvl>
    <w:lvl w:ilvl="7" w:tplc="EC5C4E7C" w:tentative="1">
      <w:start w:val="1"/>
      <w:numFmt w:val="bullet"/>
      <w:lvlText w:val="•"/>
      <w:lvlJc w:val="left"/>
      <w:pPr>
        <w:tabs>
          <w:tab w:val="num" w:pos="5760"/>
        </w:tabs>
        <w:ind w:left="5760" w:hanging="360"/>
      </w:pPr>
      <w:rPr>
        <w:rFonts w:ascii="Arial" w:hAnsi="Arial" w:hint="default"/>
      </w:rPr>
    </w:lvl>
    <w:lvl w:ilvl="8" w:tplc="7E9E049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6"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74EF3"/>
    <w:multiLevelType w:val="hybridMultilevel"/>
    <w:tmpl w:val="F2543D1C"/>
    <w:lvl w:ilvl="0" w:tplc="04090001">
      <w:start w:val="1"/>
      <w:numFmt w:val="bullet"/>
      <w:lvlText w:val=""/>
      <w:lvlJc w:val="left"/>
      <w:pPr>
        <w:ind w:left="144" w:hanging="360"/>
      </w:pPr>
      <w:rPr>
        <w:rFonts w:ascii="Symbol" w:hAnsi="Symbol" w:hint="default"/>
      </w:rPr>
    </w:lvl>
    <w:lvl w:ilvl="1" w:tplc="04090003">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8"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A1B70"/>
    <w:multiLevelType w:val="hybridMultilevel"/>
    <w:tmpl w:val="7C96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1967C2"/>
    <w:multiLevelType w:val="hybridMultilevel"/>
    <w:tmpl w:val="669A8C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275BA9"/>
    <w:multiLevelType w:val="hybridMultilevel"/>
    <w:tmpl w:val="669A8C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6"/>
  </w:num>
  <w:num w:numId="2">
    <w:abstractNumId w:val="18"/>
  </w:num>
  <w:num w:numId="3">
    <w:abstractNumId w:val="30"/>
  </w:num>
  <w:num w:numId="4">
    <w:abstractNumId w:val="8"/>
  </w:num>
  <w:num w:numId="5">
    <w:abstractNumId w:val="28"/>
  </w:num>
  <w:num w:numId="6">
    <w:abstractNumId w:val="33"/>
  </w:num>
  <w:num w:numId="7">
    <w:abstractNumId w:val="2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6"/>
  </w:num>
  <w:num w:numId="18">
    <w:abstractNumId w:val="12"/>
  </w:num>
  <w:num w:numId="19">
    <w:abstractNumId w:val="19"/>
  </w:num>
  <w:num w:numId="20">
    <w:abstractNumId w:val="5"/>
  </w:num>
  <w:num w:numId="21">
    <w:abstractNumId w:val="20"/>
  </w:num>
  <w:num w:numId="22">
    <w:abstractNumId w:val="2"/>
  </w:num>
  <w:num w:numId="23">
    <w:abstractNumId w:val="14"/>
  </w:num>
  <w:num w:numId="24">
    <w:abstractNumId w:val="25"/>
  </w:num>
  <w:num w:numId="25">
    <w:abstractNumId w:val="6"/>
  </w:num>
  <w:num w:numId="26">
    <w:abstractNumId w:val="1"/>
  </w:num>
  <w:num w:numId="27">
    <w:abstractNumId w:val="9"/>
  </w:num>
  <w:num w:numId="28">
    <w:abstractNumId w:val="15"/>
  </w:num>
  <w:num w:numId="29">
    <w:abstractNumId w:val="23"/>
  </w:num>
  <w:num w:numId="30">
    <w:abstractNumId w:val="21"/>
  </w:num>
  <w:num w:numId="31">
    <w:abstractNumId w:val="4"/>
  </w:num>
  <w:num w:numId="32">
    <w:abstractNumId w:val="16"/>
    <w:lvlOverride w:ilvl="0">
      <w:startOverride w:val="1"/>
    </w:lvlOverride>
  </w:num>
  <w:num w:numId="33">
    <w:abstractNumId w:val="11"/>
  </w:num>
  <w:num w:numId="34">
    <w:abstractNumId w:val="24"/>
  </w:num>
  <w:num w:numId="35">
    <w:abstractNumId w:val="32"/>
  </w:num>
  <w:num w:numId="36">
    <w:abstractNumId w:val="10"/>
  </w:num>
  <w:num w:numId="37">
    <w:abstractNumId w:val="7"/>
  </w:num>
  <w:num w:numId="38">
    <w:abstractNumId w:val="31"/>
  </w:num>
  <w:num w:numId="39">
    <w:abstractNumId w:val="17"/>
  </w:num>
  <w:num w:numId="40">
    <w:abstractNumId w:val="3"/>
  </w:num>
  <w:num w:numId="41">
    <w:abstractNumId w:val="13"/>
  </w:num>
  <w:num w:numId="42">
    <w:abstractNumId w:val="2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AA9"/>
    <w:rsid w:val="000030B1"/>
    <w:rsid w:val="0000346C"/>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406A"/>
    <w:rsid w:val="00056BC1"/>
    <w:rsid w:val="00056D6C"/>
    <w:rsid w:val="000575D5"/>
    <w:rsid w:val="000578BB"/>
    <w:rsid w:val="00060579"/>
    <w:rsid w:val="000633AA"/>
    <w:rsid w:val="0007041A"/>
    <w:rsid w:val="000777DB"/>
    <w:rsid w:val="000801D1"/>
    <w:rsid w:val="00082AA9"/>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1CE3"/>
    <w:rsid w:val="000C2E3B"/>
    <w:rsid w:val="000C3082"/>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16E7B"/>
    <w:rsid w:val="001174C3"/>
    <w:rsid w:val="00122C2C"/>
    <w:rsid w:val="00130C03"/>
    <w:rsid w:val="001311F7"/>
    <w:rsid w:val="0013184F"/>
    <w:rsid w:val="00131D22"/>
    <w:rsid w:val="00131F00"/>
    <w:rsid w:val="0013346F"/>
    <w:rsid w:val="00135EB7"/>
    <w:rsid w:val="0013709C"/>
    <w:rsid w:val="00146CE3"/>
    <w:rsid w:val="00147515"/>
    <w:rsid w:val="00147A74"/>
    <w:rsid w:val="00152E52"/>
    <w:rsid w:val="00154DF1"/>
    <w:rsid w:val="00155917"/>
    <w:rsid w:val="00155D06"/>
    <w:rsid w:val="00157CA2"/>
    <w:rsid w:val="001649D5"/>
    <w:rsid w:val="00164BC2"/>
    <w:rsid w:val="001739F1"/>
    <w:rsid w:val="00181AC8"/>
    <w:rsid w:val="00184421"/>
    <w:rsid w:val="00185CEF"/>
    <w:rsid w:val="001921A4"/>
    <w:rsid w:val="00193490"/>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364"/>
    <w:rsid w:val="001E6A60"/>
    <w:rsid w:val="001E6E5A"/>
    <w:rsid w:val="00201E7E"/>
    <w:rsid w:val="002032D1"/>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54E8"/>
    <w:rsid w:val="00297266"/>
    <w:rsid w:val="002A00E4"/>
    <w:rsid w:val="002A2808"/>
    <w:rsid w:val="002A3D5D"/>
    <w:rsid w:val="002A4F27"/>
    <w:rsid w:val="002A64F9"/>
    <w:rsid w:val="002A6552"/>
    <w:rsid w:val="002B0E82"/>
    <w:rsid w:val="002B25CD"/>
    <w:rsid w:val="002B45D4"/>
    <w:rsid w:val="002B558A"/>
    <w:rsid w:val="002B71CD"/>
    <w:rsid w:val="002B72E0"/>
    <w:rsid w:val="002B76AB"/>
    <w:rsid w:val="002B7C37"/>
    <w:rsid w:val="002C1507"/>
    <w:rsid w:val="002C1D6C"/>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5AB"/>
    <w:rsid w:val="003656C4"/>
    <w:rsid w:val="00366F93"/>
    <w:rsid w:val="00370490"/>
    <w:rsid w:val="003707EC"/>
    <w:rsid w:val="00370BC5"/>
    <w:rsid w:val="00370D5B"/>
    <w:rsid w:val="003743AD"/>
    <w:rsid w:val="003760A6"/>
    <w:rsid w:val="00384A00"/>
    <w:rsid w:val="00384E5E"/>
    <w:rsid w:val="00387C3D"/>
    <w:rsid w:val="003921BE"/>
    <w:rsid w:val="003921CA"/>
    <w:rsid w:val="00392614"/>
    <w:rsid w:val="00394544"/>
    <w:rsid w:val="00394DAA"/>
    <w:rsid w:val="003969F2"/>
    <w:rsid w:val="00396FD7"/>
    <w:rsid w:val="003A0C7A"/>
    <w:rsid w:val="003A16DA"/>
    <w:rsid w:val="003A3ADA"/>
    <w:rsid w:val="003A501E"/>
    <w:rsid w:val="003A63C1"/>
    <w:rsid w:val="003B509D"/>
    <w:rsid w:val="003C3464"/>
    <w:rsid w:val="003C38EC"/>
    <w:rsid w:val="003C3D79"/>
    <w:rsid w:val="003E1520"/>
    <w:rsid w:val="003E21DB"/>
    <w:rsid w:val="003E3505"/>
    <w:rsid w:val="003E418E"/>
    <w:rsid w:val="003E7979"/>
    <w:rsid w:val="003F0F76"/>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0675"/>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4F3BB1"/>
    <w:rsid w:val="004F571B"/>
    <w:rsid w:val="00500104"/>
    <w:rsid w:val="0050038C"/>
    <w:rsid w:val="00505804"/>
    <w:rsid w:val="00506F79"/>
    <w:rsid w:val="00511D22"/>
    <w:rsid w:val="00525211"/>
    <w:rsid w:val="005257EC"/>
    <w:rsid w:val="00526576"/>
    <w:rsid w:val="00526D08"/>
    <w:rsid w:val="005306BB"/>
    <w:rsid w:val="00535221"/>
    <w:rsid w:val="0053540D"/>
    <w:rsid w:val="00536284"/>
    <w:rsid w:val="00537E01"/>
    <w:rsid w:val="005400FC"/>
    <w:rsid w:val="00540352"/>
    <w:rsid w:val="005403E8"/>
    <w:rsid w:val="00551D48"/>
    <w:rsid w:val="005547CA"/>
    <w:rsid w:val="00555F68"/>
    <w:rsid w:val="005576F8"/>
    <w:rsid w:val="00560D9D"/>
    <w:rsid w:val="00561604"/>
    <w:rsid w:val="005720AC"/>
    <w:rsid w:val="005720EB"/>
    <w:rsid w:val="00580A6C"/>
    <w:rsid w:val="005837E2"/>
    <w:rsid w:val="00585F60"/>
    <w:rsid w:val="005860D2"/>
    <w:rsid w:val="005903AC"/>
    <w:rsid w:val="005975FE"/>
    <w:rsid w:val="005A151B"/>
    <w:rsid w:val="005A7F69"/>
    <w:rsid w:val="005B3BFB"/>
    <w:rsid w:val="005C2E96"/>
    <w:rsid w:val="005C3DE7"/>
    <w:rsid w:val="005C40D5"/>
    <w:rsid w:val="005C40E0"/>
    <w:rsid w:val="005C6EF8"/>
    <w:rsid w:val="005D1DEB"/>
    <w:rsid w:val="005D51C5"/>
    <w:rsid w:val="005D5D21"/>
    <w:rsid w:val="005E2B24"/>
    <w:rsid w:val="005E454D"/>
    <w:rsid w:val="005F28ED"/>
    <w:rsid w:val="005F3407"/>
    <w:rsid w:val="005F5DC1"/>
    <w:rsid w:val="005F6F8C"/>
    <w:rsid w:val="005F7ADD"/>
    <w:rsid w:val="005F7FEA"/>
    <w:rsid w:val="006075CC"/>
    <w:rsid w:val="00611ACD"/>
    <w:rsid w:val="0061476E"/>
    <w:rsid w:val="00615050"/>
    <w:rsid w:val="00616DE6"/>
    <w:rsid w:val="00622372"/>
    <w:rsid w:val="00623E13"/>
    <w:rsid w:val="0062545D"/>
    <w:rsid w:val="00633E77"/>
    <w:rsid w:val="0063644E"/>
    <w:rsid w:val="00636D6D"/>
    <w:rsid w:val="006371A1"/>
    <w:rsid w:val="006404FF"/>
    <w:rsid w:val="0066062F"/>
    <w:rsid w:val="0066273C"/>
    <w:rsid w:val="00664026"/>
    <w:rsid w:val="00671099"/>
    <w:rsid w:val="0067358F"/>
    <w:rsid w:val="0067395C"/>
    <w:rsid w:val="00676A56"/>
    <w:rsid w:val="0068215C"/>
    <w:rsid w:val="0068230E"/>
    <w:rsid w:val="00691343"/>
    <w:rsid w:val="0069799C"/>
    <w:rsid w:val="00697E5B"/>
    <w:rsid w:val="006A465C"/>
    <w:rsid w:val="006A4FFC"/>
    <w:rsid w:val="006A6D7D"/>
    <w:rsid w:val="006A73F8"/>
    <w:rsid w:val="006B1180"/>
    <w:rsid w:val="006B2425"/>
    <w:rsid w:val="006B2483"/>
    <w:rsid w:val="006B3F95"/>
    <w:rsid w:val="006B4E3F"/>
    <w:rsid w:val="006B6D4A"/>
    <w:rsid w:val="006C2620"/>
    <w:rsid w:val="006C3304"/>
    <w:rsid w:val="006C7956"/>
    <w:rsid w:val="006D03BB"/>
    <w:rsid w:val="006D21FF"/>
    <w:rsid w:val="006D253A"/>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334C"/>
    <w:rsid w:val="0075488B"/>
    <w:rsid w:val="00756044"/>
    <w:rsid w:val="00756E06"/>
    <w:rsid w:val="007614D4"/>
    <w:rsid w:val="00761C9D"/>
    <w:rsid w:val="00761DA6"/>
    <w:rsid w:val="00764A19"/>
    <w:rsid w:val="00766335"/>
    <w:rsid w:val="007700B1"/>
    <w:rsid w:val="00780B38"/>
    <w:rsid w:val="00781F52"/>
    <w:rsid w:val="007825D9"/>
    <w:rsid w:val="00787CE7"/>
    <w:rsid w:val="007963EB"/>
    <w:rsid w:val="007A1493"/>
    <w:rsid w:val="007A2D95"/>
    <w:rsid w:val="007A2E39"/>
    <w:rsid w:val="007A4FD7"/>
    <w:rsid w:val="007B1192"/>
    <w:rsid w:val="007B1305"/>
    <w:rsid w:val="007B1E87"/>
    <w:rsid w:val="007B7D1E"/>
    <w:rsid w:val="007C6B92"/>
    <w:rsid w:val="007C7719"/>
    <w:rsid w:val="007D2AD5"/>
    <w:rsid w:val="007D6AE7"/>
    <w:rsid w:val="007D6CFB"/>
    <w:rsid w:val="007E1607"/>
    <w:rsid w:val="007E574B"/>
    <w:rsid w:val="007E5750"/>
    <w:rsid w:val="007E6923"/>
    <w:rsid w:val="007F76E9"/>
    <w:rsid w:val="0080264C"/>
    <w:rsid w:val="008057B0"/>
    <w:rsid w:val="008059AC"/>
    <w:rsid w:val="008065F4"/>
    <w:rsid w:val="00811638"/>
    <w:rsid w:val="00814AE7"/>
    <w:rsid w:val="00815382"/>
    <w:rsid w:val="00821341"/>
    <w:rsid w:val="00824DFD"/>
    <w:rsid w:val="00830296"/>
    <w:rsid w:val="008321D0"/>
    <w:rsid w:val="00833B51"/>
    <w:rsid w:val="008363C0"/>
    <w:rsid w:val="008403EE"/>
    <w:rsid w:val="008405D8"/>
    <w:rsid w:val="00841251"/>
    <w:rsid w:val="00841793"/>
    <w:rsid w:val="008453D2"/>
    <w:rsid w:val="00845D73"/>
    <w:rsid w:val="0085028F"/>
    <w:rsid w:val="00850F24"/>
    <w:rsid w:val="00852D7A"/>
    <w:rsid w:val="008540D9"/>
    <w:rsid w:val="00854CC7"/>
    <w:rsid w:val="00854F52"/>
    <w:rsid w:val="00854FD1"/>
    <w:rsid w:val="00865AD4"/>
    <w:rsid w:val="00865E7D"/>
    <w:rsid w:val="008677BE"/>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2528"/>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3C8E"/>
    <w:rsid w:val="00935598"/>
    <w:rsid w:val="00940BA2"/>
    <w:rsid w:val="00944C5E"/>
    <w:rsid w:val="009555B9"/>
    <w:rsid w:val="0095642D"/>
    <w:rsid w:val="009568D4"/>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D64AE"/>
    <w:rsid w:val="009E1B70"/>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27D6"/>
    <w:rsid w:val="00A960CD"/>
    <w:rsid w:val="00A96CD2"/>
    <w:rsid w:val="00AA1231"/>
    <w:rsid w:val="00AA174B"/>
    <w:rsid w:val="00AA795E"/>
    <w:rsid w:val="00AB496C"/>
    <w:rsid w:val="00AB7AB9"/>
    <w:rsid w:val="00AB7DAD"/>
    <w:rsid w:val="00AC603E"/>
    <w:rsid w:val="00AD2206"/>
    <w:rsid w:val="00AD24F3"/>
    <w:rsid w:val="00AD2E6C"/>
    <w:rsid w:val="00AE3DBB"/>
    <w:rsid w:val="00AF0545"/>
    <w:rsid w:val="00AF56DF"/>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2EED"/>
    <w:rsid w:val="00B83B64"/>
    <w:rsid w:val="00B86797"/>
    <w:rsid w:val="00B86E7E"/>
    <w:rsid w:val="00B9069A"/>
    <w:rsid w:val="00B90E1D"/>
    <w:rsid w:val="00B949A7"/>
    <w:rsid w:val="00B973C9"/>
    <w:rsid w:val="00BA0343"/>
    <w:rsid w:val="00BA1475"/>
    <w:rsid w:val="00BA24A0"/>
    <w:rsid w:val="00BA36B1"/>
    <w:rsid w:val="00BA79D9"/>
    <w:rsid w:val="00BB000E"/>
    <w:rsid w:val="00BB076D"/>
    <w:rsid w:val="00BB4F8E"/>
    <w:rsid w:val="00BB5573"/>
    <w:rsid w:val="00BB5649"/>
    <w:rsid w:val="00BB74AC"/>
    <w:rsid w:val="00BC2562"/>
    <w:rsid w:val="00BC3468"/>
    <w:rsid w:val="00BD087D"/>
    <w:rsid w:val="00BE11BF"/>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29FA"/>
    <w:rsid w:val="00C44D41"/>
    <w:rsid w:val="00C45A45"/>
    <w:rsid w:val="00C45D90"/>
    <w:rsid w:val="00C46DC5"/>
    <w:rsid w:val="00C47A9D"/>
    <w:rsid w:val="00C50508"/>
    <w:rsid w:val="00C51094"/>
    <w:rsid w:val="00C536C6"/>
    <w:rsid w:val="00C5604A"/>
    <w:rsid w:val="00C5662D"/>
    <w:rsid w:val="00C57D62"/>
    <w:rsid w:val="00C622A4"/>
    <w:rsid w:val="00C62485"/>
    <w:rsid w:val="00C6450B"/>
    <w:rsid w:val="00C7488A"/>
    <w:rsid w:val="00C749D7"/>
    <w:rsid w:val="00C81C15"/>
    <w:rsid w:val="00C81CE4"/>
    <w:rsid w:val="00C81EA0"/>
    <w:rsid w:val="00C83353"/>
    <w:rsid w:val="00C86E75"/>
    <w:rsid w:val="00C90FA2"/>
    <w:rsid w:val="00C94B60"/>
    <w:rsid w:val="00C95148"/>
    <w:rsid w:val="00C95362"/>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0D77"/>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4EC2"/>
    <w:rsid w:val="00D458B5"/>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391"/>
    <w:rsid w:val="00E16443"/>
    <w:rsid w:val="00E202FA"/>
    <w:rsid w:val="00E218CA"/>
    <w:rsid w:val="00E23370"/>
    <w:rsid w:val="00E2458E"/>
    <w:rsid w:val="00E247A2"/>
    <w:rsid w:val="00E253D5"/>
    <w:rsid w:val="00E25645"/>
    <w:rsid w:val="00E4054A"/>
    <w:rsid w:val="00E4096D"/>
    <w:rsid w:val="00E41FF2"/>
    <w:rsid w:val="00E42570"/>
    <w:rsid w:val="00E4482D"/>
    <w:rsid w:val="00E463A9"/>
    <w:rsid w:val="00E476BB"/>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264E"/>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44FB2"/>
    <w:rsid w:val="00F46260"/>
    <w:rsid w:val="00F470C7"/>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32173D"/>
  <w15:docId w15:val="{DA591888-A670-474E-9F93-551356F5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AA9"/>
    <w:pPr>
      <w:spacing w:after="160" w:line="259" w:lineRule="auto"/>
    </w:pPr>
    <w:rPr>
      <w:rFonts w:asciiTheme="minorHAnsi" w:eastAsiaTheme="minorHAnsi" w:hAnsiTheme="minorHAnsi"/>
      <w:sz w:val="22"/>
      <w:szCs w:val="22"/>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outlineLvl w:val="0"/>
    </w:pPr>
    <w:rPr>
      <w:rFonts w:ascii="Arial Black" w:hAnsi="Arial Black"/>
      <w:caps/>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outlineLvl w:val="1"/>
    </w:pPr>
    <w:rPr>
      <w:rFonts w:ascii="Arial Black" w:hAnsi="Arial Black"/>
      <w:caps/>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outlineLvl w:val="8"/>
    </w:pPr>
    <w:rPr>
      <w:rFonts w:ascii="Arial Black" w:hAnsi="Arial Black"/>
      <w:caps/>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uiPriority w:val="99"/>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uiPriority w:val="99"/>
    <w:qFormat/>
    <w:rsid w:val="00203E3B"/>
    <w:pPr>
      <w:spacing w:after="120" w:line="240" w:lineRule="auto"/>
    </w:pPr>
    <w:rPr>
      <w:sz w:val="20"/>
    </w:rPr>
  </w:style>
  <w:style w:type="character" w:customStyle="1" w:styleId="FootnoteTextChar">
    <w:name w:val="Footnote Text Char"/>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jc w:val="center"/>
      <w:outlineLvl w:val="1"/>
    </w:pPr>
    <w:rPr>
      <w:rFonts w:ascii="Arial Black" w:hAnsi="Arial Black"/>
      <w:caps/>
    </w:rPr>
  </w:style>
  <w:style w:type="paragraph" w:customStyle="1" w:styleId="MarkforAttachmentTitle">
    <w:name w:val="Mark for Attachment Title"/>
    <w:basedOn w:val="Normal"/>
    <w:next w:val="Normal"/>
    <w:qFormat/>
    <w:rsid w:val="00A23043"/>
    <w:pPr>
      <w:spacing w:before="2640" w:after="240" w:line="240" w:lineRule="auto"/>
      <w:jc w:val="center"/>
      <w:outlineLvl w:val="1"/>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pPr>
    <w:rPr>
      <w:rFonts w:ascii="Arial Black" w:hAnsi="Arial Black"/>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3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082AA9"/>
    <w:rPr>
      <w:sz w:val="16"/>
      <w:szCs w:val="16"/>
    </w:rPr>
  </w:style>
  <w:style w:type="paragraph" w:styleId="CommentText">
    <w:name w:val="annotation text"/>
    <w:basedOn w:val="Normal"/>
    <w:link w:val="CommentTextChar"/>
    <w:uiPriority w:val="99"/>
    <w:semiHidden/>
    <w:unhideWhenUsed/>
    <w:rsid w:val="00082AA9"/>
    <w:pPr>
      <w:spacing w:line="240" w:lineRule="auto"/>
    </w:pPr>
    <w:rPr>
      <w:sz w:val="20"/>
      <w:szCs w:val="20"/>
    </w:rPr>
  </w:style>
  <w:style w:type="character" w:customStyle="1" w:styleId="CommentTextChar">
    <w:name w:val="Comment Text Char"/>
    <w:basedOn w:val="DefaultParagraphFont"/>
    <w:link w:val="CommentText"/>
    <w:uiPriority w:val="99"/>
    <w:semiHidden/>
    <w:rsid w:val="00082AA9"/>
    <w:rPr>
      <w:rFonts w:asciiTheme="minorHAnsi" w:eastAsia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1E6364"/>
    <w:rPr>
      <w:b/>
      <w:bCs/>
    </w:rPr>
  </w:style>
  <w:style w:type="character" w:customStyle="1" w:styleId="CommentSubjectChar">
    <w:name w:val="Comment Subject Char"/>
    <w:basedOn w:val="CommentTextChar"/>
    <w:link w:val="CommentSubject"/>
    <w:uiPriority w:val="99"/>
    <w:semiHidden/>
    <w:rsid w:val="001E6364"/>
    <w:rPr>
      <w:rFonts w:asciiTheme="minorHAnsi" w:eastAsiaTheme="minorHAnsi" w:hAnsiTheme="minorHAnsi"/>
      <w:b/>
      <w:bCs/>
      <w:sz w:val="20"/>
      <w:szCs w:val="20"/>
    </w:rPr>
  </w:style>
  <w:style w:type="paragraph" w:styleId="EndnoteText">
    <w:name w:val="endnote text"/>
    <w:basedOn w:val="Normal"/>
    <w:link w:val="EndnoteTextChar"/>
    <w:semiHidden/>
    <w:unhideWhenUsed/>
    <w:rsid w:val="002954E8"/>
    <w:pPr>
      <w:spacing w:after="0" w:line="240" w:lineRule="auto"/>
    </w:pPr>
    <w:rPr>
      <w:sz w:val="20"/>
      <w:szCs w:val="20"/>
    </w:rPr>
  </w:style>
  <w:style w:type="character" w:customStyle="1" w:styleId="EndnoteTextChar">
    <w:name w:val="Endnote Text Char"/>
    <w:basedOn w:val="DefaultParagraphFont"/>
    <w:link w:val="EndnoteText"/>
    <w:semiHidden/>
    <w:rsid w:val="002954E8"/>
    <w:rPr>
      <w:rFonts w:asciiTheme="minorHAnsi" w:eastAsiaTheme="minorHAnsi" w:hAnsiTheme="minorHAnsi"/>
      <w:sz w:val="20"/>
      <w:szCs w:val="20"/>
    </w:rPr>
  </w:style>
  <w:style w:type="character" w:styleId="EndnoteReference">
    <w:name w:val="endnote reference"/>
    <w:basedOn w:val="DefaultParagraphFont"/>
    <w:semiHidden/>
    <w:unhideWhenUsed/>
    <w:rsid w:val="002954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77731">
      <w:bodyDiv w:val="1"/>
      <w:marLeft w:val="0"/>
      <w:marRight w:val="0"/>
      <w:marTop w:val="0"/>
      <w:marBottom w:val="0"/>
      <w:divBdr>
        <w:top w:val="none" w:sz="0" w:space="0" w:color="auto"/>
        <w:left w:val="none" w:sz="0" w:space="0" w:color="auto"/>
        <w:bottom w:val="none" w:sz="0" w:space="0" w:color="auto"/>
        <w:right w:val="none" w:sz="0" w:space="0" w:color="auto"/>
      </w:divBdr>
    </w:div>
    <w:div w:id="581336249">
      <w:bodyDiv w:val="1"/>
      <w:marLeft w:val="0"/>
      <w:marRight w:val="0"/>
      <w:marTop w:val="0"/>
      <w:marBottom w:val="0"/>
      <w:divBdr>
        <w:top w:val="none" w:sz="0" w:space="0" w:color="auto"/>
        <w:left w:val="none" w:sz="0" w:space="0" w:color="auto"/>
        <w:bottom w:val="none" w:sz="0" w:space="0" w:color="auto"/>
        <w:right w:val="none" w:sz="0" w:space="0" w:color="auto"/>
      </w:divBdr>
    </w:div>
    <w:div w:id="61409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B4375-22F1-43FA-B17D-F726046C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32</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aco scale target summary</vt:lpstr>
    </vt:vector>
  </TitlesOfParts>
  <Company>Mathematica, Inc</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 scale target summary</dc:title>
  <dc:subject>Last Updated: 3/15/2019</dc:subject>
  <dc:creator>Sule Gerovich</dc:creator>
  <cp:lastModifiedBy>Kinsler, Sarah</cp:lastModifiedBy>
  <cp:revision>4</cp:revision>
  <cp:lastPrinted>2019-03-15T17:57:00Z</cp:lastPrinted>
  <dcterms:created xsi:type="dcterms:W3CDTF">2019-03-15T14:37:00Z</dcterms:created>
  <dcterms:modified xsi:type="dcterms:W3CDTF">2019-03-15T18:27:00Z</dcterms:modified>
</cp:coreProperties>
</file>