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2D80" w14:textId="721354D0" w:rsidR="00344A9C" w:rsidRPr="00D6180E" w:rsidRDefault="00D6180E" w:rsidP="009F7D26">
      <w:pPr>
        <w:pBdr>
          <w:bottom w:val="single" w:sz="4" w:space="1" w:color="auto"/>
        </w:pBdr>
        <w:spacing w:after="120" w:line="240" w:lineRule="auto"/>
        <w:jc w:val="center"/>
        <w:rPr>
          <w:rFonts w:eastAsiaTheme="minorEastAsia"/>
          <w:b/>
          <w:color w:val="1F497D" w:themeColor="text2"/>
          <w:sz w:val="20"/>
          <w:szCs w:val="20"/>
        </w:rPr>
      </w:pPr>
      <w:r>
        <w:rPr>
          <w:rFonts w:eastAsiaTheme="minorEastAsia"/>
          <w:b/>
          <w:color w:val="1F497D" w:themeColor="text2"/>
          <w:sz w:val="20"/>
          <w:szCs w:val="20"/>
        </w:rPr>
        <w:t xml:space="preserve">VERMONT ALL-PAYER ACO MODEL – </w:t>
      </w:r>
      <w:r w:rsidRPr="00D6180E">
        <w:rPr>
          <w:rFonts w:eastAsiaTheme="minorEastAsia"/>
          <w:b/>
          <w:color w:val="1F497D" w:themeColor="text2"/>
          <w:sz w:val="20"/>
          <w:szCs w:val="20"/>
        </w:rPr>
        <w:t>CARE TRANSFORMATION SUMMARY</w:t>
      </w:r>
    </w:p>
    <w:p w14:paraId="108667C2" w14:textId="1E917C16" w:rsidR="00344A9C" w:rsidRDefault="00344A9C" w:rsidP="009F7D26">
      <w:pPr>
        <w:spacing w:line="240" w:lineRule="auto"/>
        <w:rPr>
          <w:sz w:val="20"/>
          <w:szCs w:val="20"/>
        </w:rPr>
      </w:pPr>
      <w:r w:rsidRPr="00D6180E">
        <w:rPr>
          <w:sz w:val="20"/>
          <w:szCs w:val="20"/>
        </w:rPr>
        <w:t xml:space="preserve">The All-Payer </w:t>
      </w:r>
      <w:r w:rsidR="00D66AD0">
        <w:rPr>
          <w:sz w:val="20"/>
          <w:szCs w:val="20"/>
        </w:rPr>
        <w:t>ACO</w:t>
      </w:r>
      <w:r w:rsidR="00492AC2" w:rsidRPr="00D6180E">
        <w:rPr>
          <w:sz w:val="20"/>
          <w:szCs w:val="20"/>
        </w:rPr>
        <w:t xml:space="preserve"> </w:t>
      </w:r>
      <w:r w:rsidRPr="00D6180E">
        <w:rPr>
          <w:sz w:val="20"/>
          <w:szCs w:val="20"/>
        </w:rPr>
        <w:t xml:space="preserve">Model Agreement lays out </w:t>
      </w:r>
      <w:r w:rsidR="00D66AD0">
        <w:rPr>
          <w:sz w:val="20"/>
          <w:szCs w:val="20"/>
        </w:rPr>
        <w:t>21</w:t>
      </w:r>
      <w:r w:rsidR="00DC04B0" w:rsidRPr="00D6180E">
        <w:rPr>
          <w:sz w:val="20"/>
          <w:szCs w:val="20"/>
        </w:rPr>
        <w:t xml:space="preserve"> </w:t>
      </w:r>
      <w:r w:rsidR="00D6180E">
        <w:rPr>
          <w:sz w:val="20"/>
          <w:szCs w:val="20"/>
        </w:rPr>
        <w:t xml:space="preserve">statewide health outcomes and quality of care targets, </w:t>
      </w:r>
      <w:r w:rsidR="00DC04B0" w:rsidRPr="00D6180E">
        <w:rPr>
          <w:sz w:val="20"/>
          <w:szCs w:val="20"/>
        </w:rPr>
        <w:t xml:space="preserve">with three </w:t>
      </w:r>
      <w:r w:rsidR="00D6180E">
        <w:rPr>
          <w:sz w:val="20"/>
          <w:szCs w:val="20"/>
        </w:rPr>
        <w:t>population health goals</w:t>
      </w:r>
      <w:r w:rsidR="00DC04B0" w:rsidRPr="00D6180E">
        <w:rPr>
          <w:sz w:val="20"/>
          <w:szCs w:val="20"/>
        </w:rPr>
        <w:t xml:space="preserve">: </w:t>
      </w:r>
      <w:r w:rsidRPr="00D6180E">
        <w:rPr>
          <w:sz w:val="20"/>
          <w:szCs w:val="20"/>
        </w:rPr>
        <w:t>increasing access to primary care, reducing death due to suicide and drug overdose, and reducing morbidity of chronic disease</w:t>
      </w:r>
      <w:r w:rsidR="00DC04B0" w:rsidRPr="00D6180E">
        <w:rPr>
          <w:sz w:val="20"/>
          <w:szCs w:val="20"/>
        </w:rPr>
        <w:t xml:space="preserve">. </w:t>
      </w:r>
      <w:r w:rsidR="00774DFB" w:rsidRPr="00D6180E">
        <w:rPr>
          <w:sz w:val="20"/>
          <w:szCs w:val="20"/>
        </w:rPr>
        <w:t xml:space="preserve">To achieve these goals, </w:t>
      </w:r>
      <w:r w:rsidR="004F78F5">
        <w:rPr>
          <w:sz w:val="20"/>
          <w:szCs w:val="20"/>
        </w:rPr>
        <w:t>OneCare Vermont, Vermont’s only accountable care organization,</w:t>
      </w:r>
      <w:r w:rsidR="004F78F5" w:rsidRPr="00D6180E">
        <w:rPr>
          <w:sz w:val="20"/>
          <w:szCs w:val="20"/>
        </w:rPr>
        <w:t xml:space="preserve"> </w:t>
      </w:r>
      <w:r w:rsidR="00774DFB" w:rsidRPr="00D6180E">
        <w:rPr>
          <w:sz w:val="20"/>
          <w:szCs w:val="20"/>
        </w:rPr>
        <w:t xml:space="preserve">is </w:t>
      </w:r>
      <w:r w:rsidR="004F78F5">
        <w:rPr>
          <w:sz w:val="20"/>
          <w:szCs w:val="20"/>
        </w:rPr>
        <w:t>facilitating increased</w:t>
      </w:r>
      <w:r w:rsidR="004F78F5" w:rsidRPr="00D6180E">
        <w:rPr>
          <w:sz w:val="20"/>
          <w:szCs w:val="20"/>
        </w:rPr>
        <w:t xml:space="preserve"> </w:t>
      </w:r>
      <w:r w:rsidR="00774DFB" w:rsidRPr="00D6180E">
        <w:rPr>
          <w:sz w:val="20"/>
          <w:szCs w:val="20"/>
        </w:rPr>
        <w:t>collaboration among hospitals, primary care</w:t>
      </w:r>
      <w:r w:rsidR="004F78F5">
        <w:rPr>
          <w:sz w:val="20"/>
          <w:szCs w:val="20"/>
        </w:rPr>
        <w:t xml:space="preserve"> providers</w:t>
      </w:r>
      <w:r w:rsidR="00D66AD0">
        <w:rPr>
          <w:sz w:val="20"/>
          <w:szCs w:val="20"/>
        </w:rPr>
        <w:t>,</w:t>
      </w:r>
      <w:r w:rsidR="00774DFB" w:rsidRPr="00D6180E">
        <w:rPr>
          <w:sz w:val="20"/>
          <w:szCs w:val="20"/>
        </w:rPr>
        <w:t xml:space="preserve"> and </w:t>
      </w:r>
      <w:r w:rsidR="00D66AD0">
        <w:rPr>
          <w:sz w:val="20"/>
          <w:szCs w:val="20"/>
        </w:rPr>
        <w:t>community providers</w:t>
      </w:r>
      <w:r w:rsidR="00774DFB" w:rsidRPr="00D6180E">
        <w:rPr>
          <w:sz w:val="20"/>
          <w:szCs w:val="20"/>
        </w:rPr>
        <w:t xml:space="preserve"> (including home health providers, mental health agencies, Area Agencies on Aging)</w:t>
      </w:r>
      <w:r w:rsidR="004F78F5">
        <w:rPr>
          <w:sz w:val="20"/>
          <w:szCs w:val="20"/>
        </w:rPr>
        <w:t xml:space="preserve"> with the goal of</w:t>
      </w:r>
      <w:r w:rsidR="00774DFB" w:rsidRPr="00D6180E">
        <w:rPr>
          <w:sz w:val="20"/>
          <w:szCs w:val="20"/>
        </w:rPr>
        <w:t xml:space="preserve"> providing </w:t>
      </w:r>
      <w:r w:rsidR="00D66AD0">
        <w:rPr>
          <w:sz w:val="20"/>
          <w:szCs w:val="20"/>
        </w:rPr>
        <w:t>whole-person care for</w:t>
      </w:r>
      <w:r w:rsidR="00774DFB" w:rsidRPr="00D6180E">
        <w:rPr>
          <w:sz w:val="20"/>
          <w:szCs w:val="20"/>
        </w:rPr>
        <w:t xml:space="preserve"> patients.</w:t>
      </w:r>
      <w:r w:rsidR="00774DFB">
        <w:rPr>
          <w:sz w:val="20"/>
          <w:szCs w:val="20"/>
        </w:rPr>
        <w:t xml:space="preserve"> Currently twelve of the fourteen health service areas in Vermont are participating in the model</w:t>
      </w:r>
      <w:r w:rsidR="00D66AD0">
        <w:rPr>
          <w:sz w:val="20"/>
          <w:szCs w:val="20"/>
        </w:rPr>
        <w:t>, giving the model statewide reach as scale increases</w:t>
      </w:r>
      <w:r w:rsidR="00774DFB">
        <w:rPr>
          <w:sz w:val="20"/>
          <w:szCs w:val="20"/>
        </w:rPr>
        <w:t>.</w:t>
      </w:r>
    </w:p>
    <w:p w14:paraId="316F76EB" w14:textId="69D11A7C" w:rsidR="00D66AD0" w:rsidRPr="00D6180E" w:rsidRDefault="00D66AD0" w:rsidP="009F7D26">
      <w:pPr>
        <w:spacing w:line="240" w:lineRule="auto"/>
        <w:rPr>
          <w:sz w:val="20"/>
          <w:szCs w:val="20"/>
        </w:rPr>
      </w:pPr>
      <w:r>
        <w:rPr>
          <w:sz w:val="20"/>
          <w:szCs w:val="20"/>
        </w:rPr>
        <w:t xml:space="preserve">The All-Payer ACO Model seeks to transform care for Vermonters in two ways: 1) Changing </w:t>
      </w:r>
      <w:r w:rsidR="004F78F5">
        <w:rPr>
          <w:sz w:val="20"/>
          <w:szCs w:val="20"/>
        </w:rPr>
        <w:t>f</w:t>
      </w:r>
      <w:r>
        <w:rPr>
          <w:sz w:val="20"/>
          <w:szCs w:val="20"/>
        </w:rPr>
        <w:t xml:space="preserve">inancial </w:t>
      </w:r>
      <w:r w:rsidR="004F78F5">
        <w:rPr>
          <w:bCs/>
          <w:sz w:val="20"/>
          <w:szCs w:val="20"/>
        </w:rPr>
        <w:t>i</w:t>
      </w:r>
      <w:r w:rsidRPr="00D66AD0">
        <w:rPr>
          <w:bCs/>
          <w:sz w:val="20"/>
          <w:szCs w:val="20"/>
        </w:rPr>
        <w:t xml:space="preserve">ncentives and </w:t>
      </w:r>
      <w:r w:rsidR="004F78F5">
        <w:rPr>
          <w:bCs/>
          <w:sz w:val="20"/>
          <w:szCs w:val="20"/>
        </w:rPr>
        <w:t>i</w:t>
      </w:r>
      <w:r w:rsidRPr="00D66AD0">
        <w:rPr>
          <w:bCs/>
          <w:sz w:val="20"/>
          <w:szCs w:val="20"/>
        </w:rPr>
        <w:t xml:space="preserve">ncreasing </w:t>
      </w:r>
      <w:r w:rsidR="004F78F5">
        <w:rPr>
          <w:bCs/>
          <w:sz w:val="20"/>
          <w:szCs w:val="20"/>
        </w:rPr>
        <w:t>f</w:t>
      </w:r>
      <w:r w:rsidRPr="00D66AD0">
        <w:rPr>
          <w:bCs/>
          <w:sz w:val="20"/>
          <w:szCs w:val="20"/>
        </w:rPr>
        <w:t xml:space="preserve">unding for </w:t>
      </w:r>
      <w:r w:rsidR="00C579BF" w:rsidRPr="00D66AD0">
        <w:rPr>
          <w:bCs/>
          <w:sz w:val="20"/>
          <w:szCs w:val="20"/>
        </w:rPr>
        <w:t>primary care and community-based services</w:t>
      </w:r>
      <w:r>
        <w:rPr>
          <w:bCs/>
          <w:sz w:val="20"/>
          <w:szCs w:val="20"/>
        </w:rPr>
        <w:t xml:space="preserve">; and 2) </w:t>
      </w:r>
      <w:r w:rsidRPr="00D66AD0">
        <w:rPr>
          <w:bCs/>
          <w:sz w:val="20"/>
          <w:szCs w:val="20"/>
        </w:rPr>
        <w:t xml:space="preserve">Providing </w:t>
      </w:r>
      <w:r w:rsidR="00C579BF" w:rsidRPr="00D66AD0">
        <w:rPr>
          <w:bCs/>
          <w:sz w:val="20"/>
          <w:szCs w:val="20"/>
        </w:rPr>
        <w:t>support for care transformation and quality improvement activities</w:t>
      </w:r>
      <w:r w:rsidR="00C579BF">
        <w:rPr>
          <w:bCs/>
          <w:sz w:val="20"/>
          <w:szCs w:val="20"/>
        </w:rPr>
        <w:t>.</w:t>
      </w:r>
    </w:p>
    <w:p w14:paraId="4BB982AC" w14:textId="117036DF" w:rsidR="00EB32F9" w:rsidRDefault="00F37EBA" w:rsidP="009F7D26">
      <w:pPr>
        <w:spacing w:after="120" w:line="240" w:lineRule="auto"/>
        <w:rPr>
          <w:rFonts w:cs="Times New Roman"/>
          <w:b/>
          <w:sz w:val="20"/>
          <w:szCs w:val="20"/>
        </w:rPr>
      </w:pPr>
      <w:r>
        <w:rPr>
          <w:rFonts w:cs="Times New Roman"/>
          <w:b/>
          <w:sz w:val="20"/>
          <w:szCs w:val="20"/>
        </w:rPr>
        <w:t xml:space="preserve">1) </w:t>
      </w:r>
      <w:r w:rsidR="00E93D9E" w:rsidRPr="00D66AD0">
        <w:rPr>
          <w:rFonts w:cs="Times New Roman"/>
          <w:b/>
          <w:sz w:val="20"/>
          <w:szCs w:val="20"/>
        </w:rPr>
        <w:t>Changing Financial Incentives and Increasing Funding for Primary Care and Community-Based Services</w:t>
      </w:r>
    </w:p>
    <w:p w14:paraId="0031E2D2" w14:textId="3F76A1C0" w:rsidR="0052692B" w:rsidRPr="00D66AD0" w:rsidRDefault="00D66AD0" w:rsidP="009F7D26">
      <w:pPr>
        <w:spacing w:after="120" w:line="240" w:lineRule="auto"/>
        <w:rPr>
          <w:rFonts w:cs="Times New Roman"/>
          <w:sz w:val="20"/>
          <w:szCs w:val="20"/>
        </w:rPr>
      </w:pPr>
      <w:r>
        <w:rPr>
          <w:rFonts w:cs="Times New Roman"/>
          <w:sz w:val="20"/>
          <w:szCs w:val="20"/>
        </w:rPr>
        <w:t>The ACO model supports care transformation through alternative payment methodologies including</w:t>
      </w:r>
      <w:r w:rsidR="00354E2C">
        <w:rPr>
          <w:rFonts w:cs="Times New Roman"/>
          <w:sz w:val="20"/>
          <w:szCs w:val="20"/>
        </w:rPr>
        <w:t xml:space="preserve"> population-based</w:t>
      </w:r>
      <w:r>
        <w:rPr>
          <w:rFonts w:cs="Times New Roman"/>
          <w:sz w:val="20"/>
          <w:szCs w:val="20"/>
        </w:rPr>
        <w:t xml:space="preserve"> payments; </w:t>
      </w:r>
      <w:r w:rsidR="003C2709">
        <w:rPr>
          <w:rFonts w:cs="Times New Roman"/>
          <w:sz w:val="20"/>
          <w:szCs w:val="20"/>
        </w:rPr>
        <w:t>monthly</w:t>
      </w:r>
      <w:r>
        <w:rPr>
          <w:rFonts w:cs="Times New Roman"/>
          <w:sz w:val="20"/>
          <w:szCs w:val="20"/>
        </w:rPr>
        <w:t xml:space="preserve"> payments to support primary care and care </w:t>
      </w:r>
      <w:r w:rsidR="003C2709">
        <w:rPr>
          <w:rFonts w:cs="Times New Roman"/>
          <w:sz w:val="20"/>
          <w:szCs w:val="20"/>
        </w:rPr>
        <w:t>management</w:t>
      </w:r>
      <w:r>
        <w:rPr>
          <w:rFonts w:cs="Times New Roman"/>
          <w:sz w:val="20"/>
          <w:szCs w:val="20"/>
        </w:rPr>
        <w:t>; and investments in population health activities.</w:t>
      </w:r>
    </w:p>
    <w:p w14:paraId="3B5F98E3" w14:textId="2888C1F9" w:rsidR="001B2E9A" w:rsidRPr="00C165CD" w:rsidRDefault="003C2709" w:rsidP="009F7D26">
      <w:pPr>
        <w:pStyle w:val="ListParagraph"/>
        <w:numPr>
          <w:ilvl w:val="0"/>
          <w:numId w:val="4"/>
        </w:numPr>
        <w:spacing w:after="120" w:line="240" w:lineRule="auto"/>
        <w:ind w:left="180" w:hanging="180"/>
        <w:rPr>
          <w:sz w:val="20"/>
          <w:szCs w:val="20"/>
        </w:rPr>
      </w:pPr>
      <w:r w:rsidRPr="003C2709">
        <w:rPr>
          <w:i/>
          <w:sz w:val="20"/>
          <w:szCs w:val="20"/>
        </w:rPr>
        <w:t>Population-Based Payments</w:t>
      </w:r>
      <w:r w:rsidR="00D66AD0" w:rsidRPr="00D66AD0">
        <w:rPr>
          <w:sz w:val="20"/>
          <w:szCs w:val="20"/>
        </w:rPr>
        <w:t xml:space="preserve">: </w:t>
      </w:r>
      <w:r w:rsidR="00C165CD">
        <w:rPr>
          <w:sz w:val="20"/>
          <w:szCs w:val="20"/>
        </w:rPr>
        <w:t>ACO-participating h</w:t>
      </w:r>
      <w:r w:rsidR="00676662" w:rsidRPr="00C165CD">
        <w:rPr>
          <w:sz w:val="20"/>
          <w:szCs w:val="20"/>
        </w:rPr>
        <w:t xml:space="preserve">ospitals </w:t>
      </w:r>
      <w:r w:rsidR="001B2E9A" w:rsidRPr="00C165CD">
        <w:rPr>
          <w:sz w:val="20"/>
          <w:szCs w:val="20"/>
        </w:rPr>
        <w:t xml:space="preserve">and </w:t>
      </w:r>
      <w:r w:rsidR="00CD2A24" w:rsidRPr="00C165CD">
        <w:rPr>
          <w:sz w:val="20"/>
          <w:szCs w:val="20"/>
        </w:rPr>
        <w:t xml:space="preserve">a growing number of </w:t>
      </w:r>
      <w:r w:rsidR="001B2E9A" w:rsidRPr="00C165CD">
        <w:rPr>
          <w:sz w:val="20"/>
          <w:szCs w:val="20"/>
        </w:rPr>
        <w:t xml:space="preserve">independent primary care practices are receiving </w:t>
      </w:r>
      <w:r w:rsidR="004F78F5">
        <w:rPr>
          <w:sz w:val="20"/>
          <w:szCs w:val="20"/>
        </w:rPr>
        <w:t xml:space="preserve">monthly </w:t>
      </w:r>
      <w:r w:rsidR="00CD2A24" w:rsidRPr="00C165CD">
        <w:rPr>
          <w:sz w:val="20"/>
          <w:szCs w:val="20"/>
        </w:rPr>
        <w:t xml:space="preserve">prospective </w:t>
      </w:r>
      <w:r w:rsidR="001B2E9A" w:rsidRPr="00C165CD">
        <w:rPr>
          <w:sz w:val="20"/>
          <w:szCs w:val="20"/>
        </w:rPr>
        <w:t>payment</w:t>
      </w:r>
      <w:r w:rsidR="00A80679" w:rsidRPr="00C165CD">
        <w:rPr>
          <w:sz w:val="20"/>
          <w:szCs w:val="20"/>
        </w:rPr>
        <w:t>s</w:t>
      </w:r>
      <w:r w:rsidR="00676662" w:rsidRPr="00C165CD">
        <w:rPr>
          <w:sz w:val="20"/>
          <w:szCs w:val="20"/>
        </w:rPr>
        <w:t xml:space="preserve"> </w:t>
      </w:r>
      <w:r w:rsidR="001B2E9A" w:rsidRPr="00C165CD">
        <w:rPr>
          <w:sz w:val="20"/>
          <w:szCs w:val="20"/>
        </w:rPr>
        <w:t xml:space="preserve">for their </w:t>
      </w:r>
      <w:r w:rsidR="00C165CD">
        <w:rPr>
          <w:sz w:val="20"/>
          <w:szCs w:val="20"/>
        </w:rPr>
        <w:t xml:space="preserve">patient panel. </w:t>
      </w:r>
      <w:r w:rsidR="004F78F5">
        <w:rPr>
          <w:sz w:val="20"/>
          <w:szCs w:val="20"/>
        </w:rPr>
        <w:t>There is growing evidence that this payment model provides</w:t>
      </w:r>
      <w:r w:rsidR="00C165CD">
        <w:rPr>
          <w:sz w:val="20"/>
          <w:szCs w:val="20"/>
        </w:rPr>
        <w:t xml:space="preserve"> providers’</w:t>
      </w:r>
      <w:r w:rsidR="00774DFB" w:rsidRPr="00C165CD">
        <w:rPr>
          <w:sz w:val="20"/>
          <w:szCs w:val="20"/>
        </w:rPr>
        <w:t xml:space="preserve"> </w:t>
      </w:r>
      <w:r w:rsidR="001B2E9A" w:rsidRPr="00C165CD">
        <w:rPr>
          <w:sz w:val="20"/>
          <w:szCs w:val="20"/>
        </w:rPr>
        <w:t xml:space="preserve">flexibility </w:t>
      </w:r>
      <w:r w:rsidR="00C165CD">
        <w:rPr>
          <w:sz w:val="20"/>
          <w:szCs w:val="20"/>
        </w:rPr>
        <w:t>in care delivery</w:t>
      </w:r>
      <w:r w:rsidR="004F78F5">
        <w:rPr>
          <w:sz w:val="20"/>
          <w:szCs w:val="20"/>
        </w:rPr>
        <w:t xml:space="preserve"> (e.g. telemedicine</w:t>
      </w:r>
      <w:r w:rsidR="00C579BF">
        <w:rPr>
          <w:sz w:val="20"/>
          <w:szCs w:val="20"/>
        </w:rPr>
        <w:t>,</w:t>
      </w:r>
      <w:r w:rsidR="004F78F5">
        <w:rPr>
          <w:sz w:val="20"/>
          <w:szCs w:val="20"/>
        </w:rPr>
        <w:t xml:space="preserve"> co-location of mental health)</w:t>
      </w:r>
      <w:r w:rsidR="00C165CD">
        <w:rPr>
          <w:sz w:val="20"/>
          <w:szCs w:val="20"/>
        </w:rPr>
        <w:t xml:space="preserve">, </w:t>
      </w:r>
      <w:r w:rsidR="004F78F5">
        <w:rPr>
          <w:sz w:val="20"/>
          <w:szCs w:val="20"/>
        </w:rPr>
        <w:t xml:space="preserve">promotes a focus on health and the social determinants of health (e.g. increased access to healthy food), and </w:t>
      </w:r>
      <w:r w:rsidR="005E71DC">
        <w:rPr>
          <w:sz w:val="20"/>
          <w:szCs w:val="20"/>
        </w:rPr>
        <w:t>redirects financial focus on expense management</w:t>
      </w:r>
      <w:r w:rsidR="001B2E9A" w:rsidRPr="00C165CD">
        <w:rPr>
          <w:sz w:val="20"/>
          <w:szCs w:val="20"/>
        </w:rPr>
        <w:t xml:space="preserve">. </w:t>
      </w:r>
    </w:p>
    <w:p w14:paraId="3DD3EB7B" w14:textId="6DAC7E4D" w:rsidR="003C2709" w:rsidRDefault="003C2709" w:rsidP="009F7D26">
      <w:pPr>
        <w:pStyle w:val="ListParagraph"/>
        <w:numPr>
          <w:ilvl w:val="0"/>
          <w:numId w:val="4"/>
        </w:numPr>
        <w:spacing w:after="120" w:line="240" w:lineRule="auto"/>
        <w:ind w:left="180" w:hanging="180"/>
        <w:rPr>
          <w:sz w:val="20"/>
          <w:szCs w:val="20"/>
        </w:rPr>
      </w:pPr>
      <w:r>
        <w:rPr>
          <w:i/>
          <w:sz w:val="20"/>
          <w:szCs w:val="20"/>
        </w:rPr>
        <w:t>Monthly Payments to Support Primary Care and Care Management</w:t>
      </w:r>
      <w:r w:rsidRPr="00D66AD0">
        <w:rPr>
          <w:sz w:val="20"/>
          <w:szCs w:val="20"/>
        </w:rPr>
        <w:t xml:space="preserve">: </w:t>
      </w:r>
      <w:r>
        <w:rPr>
          <w:sz w:val="20"/>
          <w:szCs w:val="20"/>
        </w:rPr>
        <w:t>Primary care and c</w:t>
      </w:r>
      <w:r w:rsidRPr="00D66AD0">
        <w:rPr>
          <w:sz w:val="20"/>
          <w:szCs w:val="20"/>
        </w:rPr>
        <w:t xml:space="preserve">are management </w:t>
      </w:r>
      <w:r>
        <w:rPr>
          <w:sz w:val="20"/>
          <w:szCs w:val="20"/>
        </w:rPr>
        <w:t>are the backbones of Vermont’s All-Payer ACO Model; they are critical services</w:t>
      </w:r>
      <w:r w:rsidRPr="00D66AD0">
        <w:rPr>
          <w:sz w:val="20"/>
          <w:szCs w:val="20"/>
        </w:rPr>
        <w:t xml:space="preserve"> for</w:t>
      </w:r>
      <w:r>
        <w:rPr>
          <w:sz w:val="20"/>
          <w:szCs w:val="20"/>
        </w:rPr>
        <w:t xml:space="preserve"> keeping patients healthy and well cared for in community settings.</w:t>
      </w:r>
      <w:r w:rsidR="00C165CD">
        <w:rPr>
          <w:sz w:val="20"/>
          <w:szCs w:val="20"/>
        </w:rPr>
        <w:t xml:space="preserve"> OneCare provides per-member per-month (PMPM) payments to participating primary care practices, as well as enhanced PMPMs for practices or community-based providers who take on care management responsibilities for the most complex patients. </w:t>
      </w:r>
      <w:r w:rsidR="005E71DC">
        <w:rPr>
          <w:sz w:val="20"/>
          <w:szCs w:val="20"/>
        </w:rPr>
        <w:t>These payments are supported by</w:t>
      </w:r>
      <w:r w:rsidR="009F7D26">
        <w:rPr>
          <w:sz w:val="20"/>
          <w:szCs w:val="20"/>
        </w:rPr>
        <w:t xml:space="preserve"> Medicare funding </w:t>
      </w:r>
      <w:r w:rsidR="005E71DC">
        <w:rPr>
          <w:sz w:val="20"/>
          <w:szCs w:val="20"/>
        </w:rPr>
        <w:t xml:space="preserve">and by fees from other payers and hospitals in the </w:t>
      </w:r>
      <w:r w:rsidR="009267F2">
        <w:rPr>
          <w:sz w:val="20"/>
          <w:szCs w:val="20"/>
        </w:rPr>
        <w:t xml:space="preserve">total </w:t>
      </w:r>
      <w:r w:rsidR="005E71DC">
        <w:rPr>
          <w:sz w:val="20"/>
          <w:szCs w:val="20"/>
        </w:rPr>
        <w:t xml:space="preserve">amount of </w:t>
      </w:r>
      <w:r w:rsidR="009267F2">
        <w:rPr>
          <w:sz w:val="20"/>
          <w:szCs w:val="20"/>
        </w:rPr>
        <w:t xml:space="preserve">$37.5 million (including </w:t>
      </w:r>
      <w:r w:rsidR="002E3E96">
        <w:rPr>
          <w:sz w:val="20"/>
          <w:szCs w:val="20"/>
        </w:rPr>
        <w:t>over $8 million</w:t>
      </w:r>
      <w:r w:rsidR="009267F2">
        <w:rPr>
          <w:sz w:val="20"/>
          <w:szCs w:val="20"/>
        </w:rPr>
        <w:t xml:space="preserve"> in Medicare funding)</w:t>
      </w:r>
      <w:r w:rsidR="009267F2" w:rsidRPr="009267F2">
        <w:rPr>
          <w:sz w:val="20"/>
          <w:szCs w:val="20"/>
        </w:rPr>
        <w:t xml:space="preserve"> </w:t>
      </w:r>
      <w:r w:rsidR="009267F2">
        <w:rPr>
          <w:sz w:val="20"/>
          <w:szCs w:val="20"/>
        </w:rPr>
        <w:t>in 2019</w:t>
      </w:r>
      <w:r w:rsidR="00EB32F9">
        <w:rPr>
          <w:sz w:val="20"/>
          <w:szCs w:val="20"/>
        </w:rPr>
        <w:t>.</w:t>
      </w:r>
    </w:p>
    <w:p w14:paraId="09597649" w14:textId="2EABBAE0" w:rsidR="00774DFB" w:rsidRPr="00C165CD" w:rsidRDefault="003C2709" w:rsidP="009F7D26">
      <w:pPr>
        <w:pStyle w:val="ListParagraph"/>
        <w:numPr>
          <w:ilvl w:val="0"/>
          <w:numId w:val="4"/>
        </w:numPr>
        <w:spacing w:after="120" w:line="240" w:lineRule="auto"/>
        <w:ind w:left="180" w:hanging="180"/>
        <w:rPr>
          <w:rStyle w:val="Strong"/>
          <w:b w:val="0"/>
          <w:sz w:val="20"/>
          <w:szCs w:val="20"/>
        </w:rPr>
      </w:pPr>
      <w:r w:rsidRPr="003C2709">
        <w:rPr>
          <w:i/>
          <w:sz w:val="20"/>
          <w:szCs w:val="20"/>
        </w:rPr>
        <w:t>Investments in Population Health Activities</w:t>
      </w:r>
      <w:r w:rsidR="00E31CDF">
        <w:rPr>
          <w:i/>
          <w:sz w:val="20"/>
          <w:szCs w:val="20"/>
        </w:rPr>
        <w:t xml:space="preserve"> and Clinical Quality Improvement</w:t>
      </w:r>
      <w:r w:rsidRPr="003C2709">
        <w:rPr>
          <w:sz w:val="20"/>
          <w:szCs w:val="20"/>
        </w:rPr>
        <w:t xml:space="preserve">: </w:t>
      </w:r>
      <w:r w:rsidR="0052692B" w:rsidRPr="003C2709">
        <w:rPr>
          <w:sz w:val="20"/>
          <w:szCs w:val="20"/>
        </w:rPr>
        <w:t>OneCare</w:t>
      </w:r>
      <w:r w:rsidR="00774DFB" w:rsidRPr="003C2709">
        <w:rPr>
          <w:sz w:val="20"/>
          <w:szCs w:val="20"/>
        </w:rPr>
        <w:t xml:space="preserve"> is distributing </w:t>
      </w:r>
      <w:r w:rsidR="001B2E9A" w:rsidRPr="003C2709">
        <w:rPr>
          <w:sz w:val="20"/>
          <w:szCs w:val="20"/>
        </w:rPr>
        <w:t xml:space="preserve">population health </w:t>
      </w:r>
      <w:r w:rsidR="00774DFB" w:rsidRPr="003C2709">
        <w:rPr>
          <w:sz w:val="20"/>
          <w:szCs w:val="20"/>
        </w:rPr>
        <w:t>dollars received through</w:t>
      </w:r>
      <w:bookmarkStart w:id="0" w:name="_GoBack"/>
      <w:bookmarkEnd w:id="0"/>
      <w:r w:rsidR="00774DFB" w:rsidRPr="003C2709">
        <w:rPr>
          <w:sz w:val="20"/>
          <w:szCs w:val="20"/>
        </w:rPr>
        <w:t xml:space="preserve"> payer contracts and hospital participation fees </w:t>
      </w:r>
      <w:r w:rsidR="00A4148C" w:rsidRPr="003C2709">
        <w:rPr>
          <w:sz w:val="20"/>
          <w:szCs w:val="20"/>
        </w:rPr>
        <w:t>to</w:t>
      </w:r>
      <w:r>
        <w:rPr>
          <w:sz w:val="20"/>
          <w:szCs w:val="20"/>
        </w:rPr>
        <w:t xml:space="preserve"> </w:t>
      </w:r>
      <w:r w:rsidR="00A80679" w:rsidRPr="00CB3038">
        <w:rPr>
          <w:sz w:val="20"/>
          <w:szCs w:val="20"/>
        </w:rPr>
        <w:t>s</w:t>
      </w:r>
      <w:r w:rsidR="001B2E9A" w:rsidRPr="00CB3038">
        <w:rPr>
          <w:sz w:val="20"/>
          <w:szCs w:val="20"/>
        </w:rPr>
        <w:t>upport communities</w:t>
      </w:r>
      <w:r w:rsidR="005E71DC">
        <w:rPr>
          <w:sz w:val="20"/>
          <w:szCs w:val="20"/>
        </w:rPr>
        <w:t xml:space="preserve"> in the network</w:t>
      </w:r>
      <w:r w:rsidR="001B2E9A" w:rsidRPr="00CB3038">
        <w:rPr>
          <w:sz w:val="20"/>
          <w:szCs w:val="20"/>
        </w:rPr>
        <w:t xml:space="preserve"> </w:t>
      </w:r>
      <w:r w:rsidRPr="003C2709">
        <w:rPr>
          <w:sz w:val="20"/>
          <w:szCs w:val="20"/>
        </w:rPr>
        <w:t>in identifying and providing</w:t>
      </w:r>
      <w:r w:rsidR="001B2E9A" w:rsidRPr="00CB3038">
        <w:rPr>
          <w:sz w:val="20"/>
          <w:szCs w:val="20"/>
        </w:rPr>
        <w:t xml:space="preserve"> </w:t>
      </w:r>
      <w:r w:rsidR="00093552" w:rsidRPr="00CB3038">
        <w:rPr>
          <w:sz w:val="20"/>
          <w:szCs w:val="20"/>
        </w:rPr>
        <w:t>coordination for patients who need additional care management</w:t>
      </w:r>
      <w:r w:rsidRPr="003C2709">
        <w:rPr>
          <w:sz w:val="20"/>
          <w:szCs w:val="20"/>
        </w:rPr>
        <w:t xml:space="preserve">; </w:t>
      </w:r>
      <w:r>
        <w:rPr>
          <w:sz w:val="20"/>
          <w:szCs w:val="20"/>
        </w:rPr>
        <w:t xml:space="preserve">to </w:t>
      </w:r>
      <w:r w:rsidR="00A80679" w:rsidRPr="003C2709">
        <w:rPr>
          <w:sz w:val="20"/>
          <w:szCs w:val="20"/>
        </w:rPr>
        <w:t>provide</w:t>
      </w:r>
      <w:r w:rsidR="00853874" w:rsidRPr="003C2709">
        <w:rPr>
          <w:sz w:val="20"/>
          <w:szCs w:val="20"/>
        </w:rPr>
        <w:t xml:space="preserve"> project management, clinical leadership, and </w:t>
      </w:r>
      <w:r w:rsidR="00492AC2" w:rsidRPr="003C2709">
        <w:rPr>
          <w:sz w:val="20"/>
          <w:szCs w:val="20"/>
        </w:rPr>
        <w:t xml:space="preserve">quality improvement </w:t>
      </w:r>
      <w:r w:rsidRPr="003C2709">
        <w:rPr>
          <w:sz w:val="20"/>
          <w:szCs w:val="20"/>
        </w:rPr>
        <w:t xml:space="preserve">support </w:t>
      </w:r>
      <w:r w:rsidR="00A80679" w:rsidRPr="003C2709">
        <w:rPr>
          <w:sz w:val="20"/>
          <w:szCs w:val="20"/>
        </w:rPr>
        <w:t xml:space="preserve">through </w:t>
      </w:r>
      <w:r w:rsidR="00E31CDF">
        <w:rPr>
          <w:sz w:val="20"/>
          <w:szCs w:val="20"/>
        </w:rPr>
        <w:t>Community Collaboratives</w:t>
      </w:r>
      <w:r w:rsidRPr="003C2709">
        <w:rPr>
          <w:sz w:val="20"/>
          <w:szCs w:val="20"/>
        </w:rPr>
        <w:t xml:space="preserve">; to </w:t>
      </w:r>
      <w:r w:rsidR="006A0380" w:rsidRPr="003C2709">
        <w:rPr>
          <w:sz w:val="20"/>
          <w:szCs w:val="20"/>
        </w:rPr>
        <w:t>utilize software</w:t>
      </w:r>
      <w:r w:rsidR="00A4148C" w:rsidRPr="003C2709">
        <w:rPr>
          <w:sz w:val="20"/>
          <w:szCs w:val="20"/>
        </w:rPr>
        <w:t xml:space="preserve"> and data</w:t>
      </w:r>
      <w:r w:rsidR="006A0380" w:rsidRPr="003C2709">
        <w:rPr>
          <w:sz w:val="20"/>
          <w:szCs w:val="20"/>
        </w:rPr>
        <w:t xml:space="preserve"> provided by OneCare to support coordination of care</w:t>
      </w:r>
      <w:r w:rsidRPr="003C2709">
        <w:rPr>
          <w:sz w:val="20"/>
          <w:szCs w:val="20"/>
        </w:rPr>
        <w:t>;</w:t>
      </w:r>
      <w:r w:rsidR="006A0380" w:rsidRPr="003C2709">
        <w:rPr>
          <w:sz w:val="20"/>
          <w:szCs w:val="20"/>
        </w:rPr>
        <w:t xml:space="preserve"> </w:t>
      </w:r>
      <w:r w:rsidR="00093552" w:rsidRPr="003C2709">
        <w:rPr>
          <w:sz w:val="20"/>
          <w:szCs w:val="20"/>
        </w:rPr>
        <w:t>and</w:t>
      </w:r>
      <w:r w:rsidR="00E31CDF">
        <w:rPr>
          <w:sz w:val="20"/>
          <w:szCs w:val="20"/>
        </w:rPr>
        <w:t xml:space="preserve"> </w:t>
      </w:r>
      <w:r w:rsidRPr="003C2709">
        <w:rPr>
          <w:sz w:val="20"/>
          <w:szCs w:val="20"/>
        </w:rPr>
        <w:t xml:space="preserve">to </w:t>
      </w:r>
      <w:r w:rsidR="00093552" w:rsidRPr="003C2709">
        <w:rPr>
          <w:sz w:val="20"/>
          <w:szCs w:val="20"/>
        </w:rPr>
        <w:t xml:space="preserve">build </w:t>
      </w:r>
      <w:r w:rsidR="006A0380" w:rsidRPr="003C2709">
        <w:rPr>
          <w:sz w:val="20"/>
          <w:szCs w:val="20"/>
        </w:rPr>
        <w:t xml:space="preserve">primary </w:t>
      </w:r>
      <w:r w:rsidR="00093552" w:rsidRPr="003C2709">
        <w:rPr>
          <w:sz w:val="20"/>
          <w:szCs w:val="20"/>
        </w:rPr>
        <w:t xml:space="preserve">prevention </w:t>
      </w:r>
      <w:r w:rsidR="00774DFB" w:rsidRPr="003C2709">
        <w:rPr>
          <w:sz w:val="20"/>
          <w:szCs w:val="20"/>
        </w:rPr>
        <w:t xml:space="preserve">and new innovation </w:t>
      </w:r>
      <w:r w:rsidR="00093552" w:rsidRPr="003C2709">
        <w:rPr>
          <w:sz w:val="20"/>
          <w:szCs w:val="20"/>
        </w:rPr>
        <w:t>programs.</w:t>
      </w:r>
      <w:r w:rsidR="001B2E9A" w:rsidRPr="003C2709">
        <w:rPr>
          <w:sz w:val="20"/>
          <w:szCs w:val="20"/>
        </w:rPr>
        <w:t xml:space="preserve"> </w:t>
      </w:r>
      <w:r w:rsidR="00774DFB" w:rsidRPr="00C165CD">
        <w:rPr>
          <w:rStyle w:val="Strong"/>
          <w:b w:val="0"/>
          <w:sz w:val="20"/>
          <w:szCs w:val="20"/>
        </w:rPr>
        <w:t>In 2019, OneCare has projected</w:t>
      </w:r>
      <w:r w:rsidR="006A2847">
        <w:rPr>
          <w:rStyle w:val="Strong"/>
          <w:b w:val="0"/>
          <w:sz w:val="20"/>
          <w:szCs w:val="20"/>
        </w:rPr>
        <w:t xml:space="preserve"> $37 million in</w:t>
      </w:r>
      <w:r w:rsidR="00774DFB" w:rsidRPr="00C165CD">
        <w:rPr>
          <w:rStyle w:val="Strong"/>
          <w:b w:val="0"/>
          <w:sz w:val="20"/>
          <w:szCs w:val="20"/>
        </w:rPr>
        <w:t xml:space="preserve"> </w:t>
      </w:r>
      <w:r w:rsidR="006A2847">
        <w:rPr>
          <w:rStyle w:val="Strong"/>
          <w:b w:val="0"/>
          <w:sz w:val="20"/>
          <w:szCs w:val="20"/>
        </w:rPr>
        <w:t>total</w:t>
      </w:r>
      <w:r w:rsidR="00B669C3">
        <w:rPr>
          <w:rStyle w:val="Strong"/>
          <w:b w:val="0"/>
          <w:sz w:val="20"/>
          <w:szCs w:val="20"/>
        </w:rPr>
        <w:t xml:space="preserve"> </w:t>
      </w:r>
      <w:r w:rsidR="006A2847">
        <w:rPr>
          <w:rStyle w:val="Strong"/>
          <w:b w:val="0"/>
          <w:sz w:val="20"/>
          <w:szCs w:val="20"/>
        </w:rPr>
        <w:t>payments to support primary care and care management and investments in population health activities</w:t>
      </w:r>
      <w:r w:rsidR="00774DFB" w:rsidRPr="00C165CD">
        <w:rPr>
          <w:rStyle w:val="Strong"/>
          <w:b w:val="0"/>
          <w:sz w:val="20"/>
          <w:szCs w:val="20"/>
        </w:rPr>
        <w:t>.</w:t>
      </w:r>
    </w:p>
    <w:p w14:paraId="578CB23E" w14:textId="7397BE57" w:rsidR="00EB32F9" w:rsidRDefault="00F37EBA" w:rsidP="009F7D26">
      <w:pPr>
        <w:spacing w:after="120" w:line="240" w:lineRule="auto"/>
        <w:rPr>
          <w:rFonts w:cs="Times New Roman"/>
          <w:b/>
          <w:sz w:val="20"/>
          <w:szCs w:val="20"/>
        </w:rPr>
      </w:pPr>
      <w:r>
        <w:rPr>
          <w:rFonts w:cs="Times New Roman"/>
          <w:b/>
          <w:sz w:val="20"/>
          <w:szCs w:val="20"/>
        </w:rPr>
        <w:t xml:space="preserve">2) </w:t>
      </w:r>
      <w:r w:rsidR="00D66AD0" w:rsidRPr="00C165CD">
        <w:rPr>
          <w:rFonts w:cs="Times New Roman"/>
          <w:b/>
          <w:sz w:val="20"/>
          <w:szCs w:val="20"/>
        </w:rPr>
        <w:t xml:space="preserve">Providing </w:t>
      </w:r>
      <w:r w:rsidR="00676662" w:rsidRPr="00C165CD">
        <w:rPr>
          <w:rFonts w:cs="Times New Roman"/>
          <w:b/>
          <w:sz w:val="20"/>
          <w:szCs w:val="20"/>
        </w:rPr>
        <w:t>Support for Care Transformation and Quality Improvement Activities</w:t>
      </w:r>
    </w:p>
    <w:p w14:paraId="413AC845" w14:textId="420511E7" w:rsidR="00676662" w:rsidRPr="004E40BA" w:rsidRDefault="00CB3038" w:rsidP="009F7D26">
      <w:pPr>
        <w:spacing w:after="120" w:line="240" w:lineRule="auto"/>
        <w:rPr>
          <w:rFonts w:cs="Times New Roman"/>
          <w:sz w:val="20"/>
          <w:szCs w:val="20"/>
        </w:rPr>
      </w:pPr>
      <w:r>
        <w:rPr>
          <w:rFonts w:cs="Times New Roman"/>
          <w:sz w:val="20"/>
          <w:szCs w:val="20"/>
        </w:rPr>
        <w:t xml:space="preserve">In addition to direct </w:t>
      </w:r>
      <w:r w:rsidR="009F7D26">
        <w:rPr>
          <w:rFonts w:cs="Times New Roman"/>
          <w:sz w:val="20"/>
          <w:szCs w:val="20"/>
        </w:rPr>
        <w:t xml:space="preserve">financial support, OneCare and the State </w:t>
      </w:r>
      <w:r w:rsidR="00EB32F9">
        <w:rPr>
          <w:rFonts w:cs="Times New Roman"/>
          <w:sz w:val="20"/>
          <w:szCs w:val="20"/>
        </w:rPr>
        <w:t>provide practice transformation and infrastructure supports to increase collaboration across the care continuum.</w:t>
      </w:r>
    </w:p>
    <w:p w14:paraId="1D001CCC" w14:textId="6742C0CE" w:rsidR="00F37EBA" w:rsidRPr="009A7475" w:rsidRDefault="00F37EBA" w:rsidP="009A7475">
      <w:pPr>
        <w:pStyle w:val="ListParagraph"/>
        <w:numPr>
          <w:ilvl w:val="0"/>
          <w:numId w:val="5"/>
        </w:numPr>
        <w:spacing w:line="240" w:lineRule="auto"/>
        <w:ind w:left="180" w:hanging="180"/>
        <w:rPr>
          <w:sz w:val="20"/>
          <w:szCs w:val="20"/>
        </w:rPr>
      </w:pPr>
      <w:r w:rsidRPr="009A7475">
        <w:rPr>
          <w:i/>
          <w:sz w:val="20"/>
          <w:szCs w:val="20"/>
        </w:rPr>
        <w:t>Community Collaboratives</w:t>
      </w:r>
      <w:r w:rsidR="009A7475" w:rsidRPr="009A7475">
        <w:rPr>
          <w:i/>
          <w:sz w:val="20"/>
          <w:szCs w:val="20"/>
        </w:rPr>
        <w:t>/</w:t>
      </w:r>
      <w:r w:rsidR="009A7475">
        <w:rPr>
          <w:i/>
          <w:sz w:val="20"/>
          <w:szCs w:val="20"/>
        </w:rPr>
        <w:t>Accountable Communities for Health</w:t>
      </w:r>
      <w:r w:rsidRPr="009A7475">
        <w:rPr>
          <w:sz w:val="20"/>
          <w:szCs w:val="20"/>
        </w:rPr>
        <w:t>: OneCare and the Blueprint for Health have collaborated to build local</w:t>
      </w:r>
      <w:r w:rsidR="005F3C30">
        <w:rPr>
          <w:sz w:val="20"/>
          <w:szCs w:val="20"/>
        </w:rPr>
        <w:t xml:space="preserve"> </w:t>
      </w:r>
      <w:r w:rsidRPr="009A7475">
        <w:rPr>
          <w:sz w:val="20"/>
          <w:szCs w:val="20"/>
        </w:rPr>
        <w:t>infrastructure in each</w:t>
      </w:r>
      <w:r w:rsidR="009A7475">
        <w:rPr>
          <w:sz w:val="20"/>
          <w:szCs w:val="20"/>
        </w:rPr>
        <w:t xml:space="preserve"> </w:t>
      </w:r>
      <w:r w:rsidRPr="009A7475">
        <w:rPr>
          <w:sz w:val="20"/>
          <w:szCs w:val="20"/>
        </w:rPr>
        <w:t>region of the state</w:t>
      </w:r>
      <w:r w:rsidR="00354E2C">
        <w:rPr>
          <w:sz w:val="20"/>
          <w:szCs w:val="20"/>
        </w:rPr>
        <w:t xml:space="preserve"> </w:t>
      </w:r>
      <w:r w:rsidR="005F3C30">
        <w:rPr>
          <w:sz w:val="20"/>
          <w:szCs w:val="20"/>
        </w:rPr>
        <w:t>to support clinical quality improvement and health care-public health integration.</w:t>
      </w:r>
      <w:r w:rsidR="005F3C30" w:rsidRPr="009A7475">
        <w:rPr>
          <w:sz w:val="20"/>
          <w:szCs w:val="20"/>
        </w:rPr>
        <w:t xml:space="preserve"> </w:t>
      </w:r>
      <w:r w:rsidR="00354E2C">
        <w:rPr>
          <w:sz w:val="20"/>
          <w:szCs w:val="20"/>
        </w:rPr>
        <w:t xml:space="preserve">These </w:t>
      </w:r>
      <w:r w:rsidR="005F3C30">
        <w:rPr>
          <w:sz w:val="20"/>
          <w:szCs w:val="20"/>
        </w:rPr>
        <w:t xml:space="preserve">collaboratives </w:t>
      </w:r>
      <w:r w:rsidR="00354E2C">
        <w:rPr>
          <w:sz w:val="20"/>
          <w:szCs w:val="20"/>
        </w:rPr>
        <w:t xml:space="preserve">are </w:t>
      </w:r>
      <w:r w:rsidRPr="009A7475">
        <w:rPr>
          <w:sz w:val="20"/>
          <w:szCs w:val="20"/>
        </w:rPr>
        <w:t>staffed by</w:t>
      </w:r>
      <w:r w:rsidR="009A7475" w:rsidRPr="009A7475">
        <w:rPr>
          <w:sz w:val="20"/>
          <w:szCs w:val="20"/>
        </w:rPr>
        <w:t xml:space="preserve"> a OneCare clinical consultant, Blueprint for Health Project Manager</w:t>
      </w:r>
      <w:r w:rsidR="005F3C30">
        <w:rPr>
          <w:sz w:val="20"/>
          <w:szCs w:val="20"/>
        </w:rPr>
        <w:t>,</w:t>
      </w:r>
      <w:r w:rsidR="009A7475" w:rsidRPr="009A7475">
        <w:rPr>
          <w:sz w:val="20"/>
          <w:szCs w:val="20"/>
        </w:rPr>
        <w:t xml:space="preserve"> and </w:t>
      </w:r>
      <w:r w:rsidR="009A7475">
        <w:rPr>
          <w:sz w:val="20"/>
          <w:szCs w:val="20"/>
        </w:rPr>
        <w:t>a</w:t>
      </w:r>
      <w:r w:rsidR="009A7475" w:rsidRPr="009A7475">
        <w:rPr>
          <w:sz w:val="20"/>
          <w:szCs w:val="20"/>
        </w:rPr>
        <w:t xml:space="preserve"> </w:t>
      </w:r>
      <w:r w:rsidR="00B669C3">
        <w:rPr>
          <w:sz w:val="20"/>
          <w:szCs w:val="20"/>
        </w:rPr>
        <w:t xml:space="preserve">local </w:t>
      </w:r>
      <w:r w:rsidR="009A7475">
        <w:rPr>
          <w:sz w:val="20"/>
          <w:szCs w:val="20"/>
        </w:rPr>
        <w:t>physicia</w:t>
      </w:r>
      <w:r w:rsidR="00B669C3">
        <w:rPr>
          <w:sz w:val="20"/>
          <w:szCs w:val="20"/>
        </w:rPr>
        <w:t>n</w:t>
      </w:r>
      <w:r w:rsidR="009A7475">
        <w:rPr>
          <w:sz w:val="20"/>
          <w:szCs w:val="20"/>
        </w:rPr>
        <w:t xml:space="preserve"> who receives funding from OneCare to champion clinical change. </w:t>
      </w:r>
      <w:r w:rsidR="00B669C3">
        <w:rPr>
          <w:sz w:val="20"/>
          <w:szCs w:val="20"/>
        </w:rPr>
        <w:t xml:space="preserve">OneCare </w:t>
      </w:r>
      <w:r w:rsidR="005F3C30">
        <w:rPr>
          <w:sz w:val="20"/>
          <w:szCs w:val="20"/>
        </w:rPr>
        <w:t xml:space="preserve">also </w:t>
      </w:r>
      <w:r w:rsidR="00B669C3">
        <w:rPr>
          <w:sz w:val="20"/>
          <w:szCs w:val="20"/>
        </w:rPr>
        <w:t xml:space="preserve">operates </w:t>
      </w:r>
      <w:r w:rsidR="005F3C30">
        <w:rPr>
          <w:sz w:val="20"/>
          <w:szCs w:val="20"/>
        </w:rPr>
        <w:t xml:space="preserve">a </w:t>
      </w:r>
      <w:r w:rsidR="00B669C3">
        <w:rPr>
          <w:sz w:val="20"/>
          <w:szCs w:val="20"/>
        </w:rPr>
        <w:t>Population Health Strategy Committee and a Clinical and Quality Committee</w:t>
      </w:r>
      <w:r w:rsidR="005F3C30">
        <w:rPr>
          <w:sz w:val="20"/>
          <w:szCs w:val="20"/>
        </w:rPr>
        <w:t xml:space="preserve"> which meet regularly to drive network-wide priority-setting for clinical quality improvement and population health efforts.</w:t>
      </w:r>
      <w:r w:rsidR="00B669C3">
        <w:rPr>
          <w:sz w:val="20"/>
          <w:szCs w:val="20"/>
        </w:rPr>
        <w:t xml:space="preserve"> </w:t>
      </w:r>
    </w:p>
    <w:p w14:paraId="6FD7662F" w14:textId="67ADFAC0" w:rsidR="00226E17" w:rsidRPr="00EB32F9" w:rsidRDefault="00226E17" w:rsidP="00EB32F9">
      <w:pPr>
        <w:pStyle w:val="ListParagraph"/>
        <w:numPr>
          <w:ilvl w:val="0"/>
          <w:numId w:val="5"/>
        </w:numPr>
        <w:spacing w:line="240" w:lineRule="auto"/>
        <w:ind w:left="180" w:hanging="180"/>
        <w:rPr>
          <w:sz w:val="20"/>
          <w:szCs w:val="20"/>
        </w:rPr>
      </w:pPr>
      <w:r w:rsidRPr="00EB32F9">
        <w:rPr>
          <w:i/>
          <w:sz w:val="20"/>
          <w:szCs w:val="20"/>
        </w:rPr>
        <w:t xml:space="preserve">Data </w:t>
      </w:r>
      <w:r w:rsidR="00EB32F9">
        <w:rPr>
          <w:i/>
          <w:sz w:val="20"/>
          <w:szCs w:val="20"/>
        </w:rPr>
        <w:t>Infrastructure and Analytics</w:t>
      </w:r>
      <w:r w:rsidR="00EB32F9" w:rsidRPr="00EB32F9">
        <w:rPr>
          <w:sz w:val="20"/>
          <w:szCs w:val="20"/>
        </w:rPr>
        <w:t xml:space="preserve">: </w:t>
      </w:r>
      <w:r w:rsidRPr="00EB32F9">
        <w:rPr>
          <w:sz w:val="20"/>
          <w:szCs w:val="20"/>
        </w:rPr>
        <w:t xml:space="preserve">OneCare has a multi-layer </w:t>
      </w:r>
      <w:r w:rsidR="00F37EBA">
        <w:rPr>
          <w:sz w:val="20"/>
          <w:szCs w:val="20"/>
        </w:rPr>
        <w:t xml:space="preserve">analytic </w:t>
      </w:r>
      <w:r w:rsidRPr="00EB32F9">
        <w:rPr>
          <w:sz w:val="20"/>
          <w:szCs w:val="20"/>
        </w:rPr>
        <w:t xml:space="preserve">platform that compiles claims data to develop trends on cost and quality measures. </w:t>
      </w:r>
      <w:r w:rsidR="00F37EBA">
        <w:rPr>
          <w:sz w:val="20"/>
          <w:szCs w:val="20"/>
        </w:rPr>
        <w:t xml:space="preserve">These are used to inform regional clinical improvement through the Community Collaboratives, as well as practice-specific quality improvement. OneCare is also implementing a cloud-based care management tool which allows a team of providers to </w:t>
      </w:r>
      <w:r w:rsidRPr="00EB32F9">
        <w:rPr>
          <w:sz w:val="20"/>
          <w:szCs w:val="20"/>
        </w:rPr>
        <w:t xml:space="preserve">document care management goals and progress and </w:t>
      </w:r>
      <w:r w:rsidR="00F37EBA">
        <w:rPr>
          <w:sz w:val="20"/>
          <w:szCs w:val="20"/>
        </w:rPr>
        <w:t>communicate to improve patient care</w:t>
      </w:r>
      <w:r w:rsidRPr="00EB32F9">
        <w:rPr>
          <w:sz w:val="20"/>
          <w:szCs w:val="20"/>
        </w:rPr>
        <w:t>.</w:t>
      </w:r>
    </w:p>
    <w:p w14:paraId="21A4D361" w14:textId="6AEEC908" w:rsidR="00C13128" w:rsidRDefault="00F37EBA" w:rsidP="00EB32F9">
      <w:pPr>
        <w:pStyle w:val="ListParagraph"/>
        <w:numPr>
          <w:ilvl w:val="0"/>
          <w:numId w:val="5"/>
        </w:numPr>
        <w:spacing w:line="240" w:lineRule="auto"/>
        <w:ind w:left="180" w:hanging="180"/>
        <w:rPr>
          <w:color w:val="000000"/>
          <w:sz w:val="20"/>
          <w:szCs w:val="20"/>
        </w:rPr>
      </w:pPr>
      <w:r>
        <w:rPr>
          <w:i/>
          <w:sz w:val="20"/>
          <w:szCs w:val="20"/>
        </w:rPr>
        <w:t>Evidence-Based</w:t>
      </w:r>
      <w:r w:rsidRPr="00EB32F9">
        <w:rPr>
          <w:i/>
          <w:sz w:val="20"/>
          <w:szCs w:val="20"/>
        </w:rPr>
        <w:t xml:space="preserve"> </w:t>
      </w:r>
      <w:r w:rsidR="001B2E9A" w:rsidRPr="00EB32F9">
        <w:rPr>
          <w:i/>
          <w:sz w:val="20"/>
          <w:szCs w:val="20"/>
        </w:rPr>
        <w:t>Prevention Programs</w:t>
      </w:r>
      <w:r w:rsidR="00EB32F9" w:rsidRPr="00EB32F9">
        <w:rPr>
          <w:sz w:val="20"/>
          <w:szCs w:val="20"/>
        </w:rPr>
        <w:t xml:space="preserve">: </w:t>
      </w:r>
      <w:r w:rsidR="00226E17" w:rsidRPr="00EB32F9">
        <w:rPr>
          <w:sz w:val="20"/>
          <w:szCs w:val="20"/>
        </w:rPr>
        <w:t xml:space="preserve">OneCare is adopting evidence-based programs to promote development of healthy beginnings and community engagement toward healthy lifestyle programs. </w:t>
      </w:r>
      <w:r>
        <w:rPr>
          <w:sz w:val="20"/>
          <w:szCs w:val="20"/>
        </w:rPr>
        <w:t>For example, i</w:t>
      </w:r>
      <w:r w:rsidR="00226E17" w:rsidRPr="00EB32F9">
        <w:rPr>
          <w:sz w:val="20"/>
          <w:szCs w:val="20"/>
        </w:rPr>
        <w:t xml:space="preserve">n 2019 OneCare is funding the expansion of a legal-medical model, DULCE, by supporting a project coordinator to ensure families with newborns have resources they need. </w:t>
      </w:r>
      <w:r>
        <w:rPr>
          <w:sz w:val="20"/>
          <w:szCs w:val="20"/>
        </w:rPr>
        <w:t>In addition</w:t>
      </w:r>
      <w:r w:rsidR="00226E17" w:rsidRPr="00EB32F9">
        <w:rPr>
          <w:sz w:val="20"/>
          <w:szCs w:val="20"/>
        </w:rPr>
        <w:t xml:space="preserve">, </w:t>
      </w:r>
      <w:r>
        <w:rPr>
          <w:sz w:val="20"/>
          <w:szCs w:val="20"/>
        </w:rPr>
        <w:t>OneCare has</w:t>
      </w:r>
      <w:r w:rsidR="00226E17" w:rsidRPr="00EB32F9">
        <w:rPr>
          <w:sz w:val="20"/>
          <w:szCs w:val="20"/>
        </w:rPr>
        <w:t xml:space="preserve"> adopted and expanded RiseVT,</w:t>
      </w:r>
      <w:r>
        <w:rPr>
          <w:sz w:val="20"/>
          <w:szCs w:val="20"/>
        </w:rPr>
        <w:t xml:space="preserve"> founded in Franklin and Grande Isle Counties, by</w:t>
      </w:r>
      <w:r w:rsidR="00226E17" w:rsidRPr="00EB32F9">
        <w:rPr>
          <w:sz w:val="20"/>
          <w:szCs w:val="20"/>
        </w:rPr>
        <w:t xml:space="preserve"> providing funding for project coordination</w:t>
      </w:r>
      <w:r>
        <w:rPr>
          <w:sz w:val="20"/>
          <w:szCs w:val="20"/>
        </w:rPr>
        <w:t>. The RiseVT model works</w:t>
      </w:r>
      <w:r w:rsidR="00226E17" w:rsidRPr="00EB32F9">
        <w:rPr>
          <w:sz w:val="20"/>
          <w:szCs w:val="20"/>
        </w:rPr>
        <w:t xml:space="preserve"> </w:t>
      </w:r>
      <w:r w:rsidR="00226E17" w:rsidRPr="00EB32F9">
        <w:rPr>
          <w:color w:val="000000"/>
          <w:sz w:val="20"/>
          <w:szCs w:val="20"/>
        </w:rPr>
        <w:t xml:space="preserve">with individuals, employers, schools, childcare providers, and municipalities to </w:t>
      </w:r>
      <w:r>
        <w:rPr>
          <w:color w:val="000000"/>
          <w:sz w:val="20"/>
          <w:szCs w:val="20"/>
        </w:rPr>
        <w:t>improve community health by making the healthy choice the easy choice.</w:t>
      </w:r>
    </w:p>
    <w:p w14:paraId="613DFFC7" w14:textId="77777777" w:rsidR="00C13128" w:rsidRPr="00EE264E" w:rsidRDefault="00C13128" w:rsidP="00C13128">
      <w:pPr>
        <w:pBdr>
          <w:bottom w:val="single" w:sz="4" w:space="1" w:color="auto"/>
        </w:pBdr>
        <w:spacing w:after="120" w:line="240" w:lineRule="auto"/>
        <w:jc w:val="center"/>
        <w:rPr>
          <w:rFonts w:eastAsiaTheme="minorEastAsia"/>
          <w:b/>
          <w:color w:val="1F497D" w:themeColor="text2"/>
          <w:sz w:val="20"/>
          <w:szCs w:val="20"/>
        </w:rPr>
      </w:pPr>
      <w:r>
        <w:rPr>
          <w:color w:val="000000"/>
          <w:sz w:val="20"/>
          <w:szCs w:val="20"/>
        </w:rPr>
        <w:br w:type="page"/>
      </w:r>
      <w:r>
        <w:rPr>
          <w:rFonts w:eastAsiaTheme="minorEastAsia"/>
          <w:b/>
          <w:color w:val="1F497D" w:themeColor="text2"/>
          <w:sz w:val="20"/>
          <w:szCs w:val="20"/>
        </w:rPr>
        <w:lastRenderedPageBreak/>
        <w:t xml:space="preserve">VERMONT </w:t>
      </w:r>
      <w:r w:rsidRPr="00EE264E">
        <w:rPr>
          <w:rFonts w:eastAsiaTheme="minorEastAsia"/>
          <w:b/>
          <w:color w:val="1F497D" w:themeColor="text2"/>
          <w:sz w:val="20"/>
          <w:szCs w:val="20"/>
        </w:rPr>
        <w:t xml:space="preserve">ALL-PAYER ACO MODEL – ACO </w:t>
      </w:r>
      <w:r>
        <w:rPr>
          <w:rFonts w:eastAsiaTheme="minorEastAsia"/>
          <w:b/>
          <w:color w:val="1F497D" w:themeColor="text2"/>
          <w:sz w:val="20"/>
          <w:szCs w:val="20"/>
        </w:rPr>
        <w:t>QUALITY MEASURES</w:t>
      </w:r>
      <w:r w:rsidRPr="00EE264E">
        <w:rPr>
          <w:rFonts w:eastAsiaTheme="minorEastAsia"/>
          <w:b/>
          <w:color w:val="1F497D" w:themeColor="text2"/>
          <w:sz w:val="20"/>
          <w:szCs w:val="20"/>
        </w:rPr>
        <w:t xml:space="preserve"> SUMMARY</w:t>
      </w:r>
    </w:p>
    <w:p w14:paraId="228A66A9" w14:textId="77777777" w:rsidR="00C13128" w:rsidRDefault="00C13128" w:rsidP="00C13128">
      <w:pPr>
        <w:spacing w:after="0" w:line="240" w:lineRule="auto"/>
        <w:rPr>
          <w:rFonts w:cs="Times New Roman"/>
          <w:sz w:val="20"/>
          <w:szCs w:val="20"/>
        </w:rPr>
      </w:pPr>
      <w:r w:rsidRPr="000C1CE3">
        <w:rPr>
          <w:rFonts w:cs="Times New Roman"/>
          <w:sz w:val="20"/>
          <w:szCs w:val="20"/>
        </w:rPr>
        <w:t xml:space="preserve">The Quality Framework outlined in the APM Agreement includes 20 measures with statewide quality targets, </w:t>
      </w:r>
      <w:r>
        <w:rPr>
          <w:rFonts w:cs="Times New Roman"/>
          <w:sz w:val="20"/>
          <w:szCs w:val="20"/>
        </w:rPr>
        <w:t>with</w:t>
      </w:r>
      <w:r w:rsidRPr="000C1CE3">
        <w:rPr>
          <w:rFonts w:cs="Times New Roman"/>
          <w:sz w:val="20"/>
          <w:szCs w:val="20"/>
        </w:rPr>
        <w:t xml:space="preserve"> an additional measure under development. These measures were negotiated by the State of Vermont and CMS in </w:t>
      </w:r>
      <w:proofErr w:type="gramStart"/>
      <w:r w:rsidRPr="000C1CE3">
        <w:rPr>
          <w:rFonts w:cs="Times New Roman"/>
          <w:sz w:val="20"/>
          <w:szCs w:val="20"/>
        </w:rPr>
        <w:t>2016, and</w:t>
      </w:r>
      <w:proofErr w:type="gramEnd"/>
      <w:r w:rsidRPr="000C1CE3">
        <w:rPr>
          <w:rFonts w:cs="Times New Roman"/>
          <w:sz w:val="20"/>
          <w:szCs w:val="20"/>
        </w:rPr>
        <w:t xml:space="preserve"> are intended to support improvement on three population health goals: improving access to primary care, reducing deaths from suicide and drug overdose, and reducing the prevalence and morbidity of chronic disease. </w:t>
      </w:r>
      <w:r>
        <w:rPr>
          <w:rFonts w:cs="Times New Roman"/>
          <w:sz w:val="20"/>
          <w:szCs w:val="20"/>
        </w:rPr>
        <w:t>Preliminary Quality Framework results are below.</w:t>
      </w:r>
    </w:p>
    <w:p w14:paraId="3291346B" w14:textId="77777777" w:rsidR="00C13128" w:rsidRPr="009C029A" w:rsidRDefault="00C13128" w:rsidP="00C13128">
      <w:pPr>
        <w:spacing w:after="0" w:line="240" w:lineRule="auto"/>
        <w:rPr>
          <w:rFonts w:eastAsiaTheme="minorEastAsia"/>
          <w:sz w:val="12"/>
          <w:szCs w:val="12"/>
        </w:rPr>
      </w:pPr>
    </w:p>
    <w:tbl>
      <w:tblPr>
        <w:tblW w:w="5000" w:type="pct"/>
        <w:tblBorders>
          <w:top w:val="single" w:sz="6" w:space="0" w:color="0070C0"/>
          <w:left w:val="single" w:sz="6" w:space="0" w:color="0070C0"/>
          <w:bottom w:val="single" w:sz="6" w:space="0" w:color="0070C0"/>
          <w:right w:val="single" w:sz="6" w:space="0" w:color="0070C0"/>
          <w:insideH w:val="single" w:sz="6" w:space="0" w:color="0070C0"/>
        </w:tblBorders>
        <w:tblCellMar>
          <w:left w:w="0" w:type="dxa"/>
          <w:right w:w="0" w:type="dxa"/>
        </w:tblCellMar>
        <w:tblLook w:val="0420" w:firstRow="1" w:lastRow="0" w:firstColumn="0" w:lastColumn="0" w:noHBand="0" w:noVBand="1"/>
      </w:tblPr>
      <w:tblGrid>
        <w:gridCol w:w="5512"/>
        <w:gridCol w:w="1590"/>
        <w:gridCol w:w="1080"/>
        <w:gridCol w:w="2602"/>
      </w:tblGrid>
      <w:tr w:rsidR="00C13128" w:rsidRPr="00C57E71" w14:paraId="17C0F2F0" w14:textId="77777777" w:rsidTr="00753933">
        <w:trPr>
          <w:trHeight w:val="288"/>
        </w:trPr>
        <w:tc>
          <w:tcPr>
            <w:tcW w:w="5512" w:type="dxa"/>
            <w:shd w:val="clear" w:color="auto" w:fill="0070C0"/>
            <w:tcMar>
              <w:top w:w="0" w:type="dxa"/>
              <w:left w:w="43" w:type="dxa"/>
              <w:bottom w:w="0" w:type="dxa"/>
              <w:right w:w="43" w:type="dxa"/>
            </w:tcMar>
            <w:hideMark/>
          </w:tcPr>
          <w:p w14:paraId="0794AA3E" w14:textId="77777777" w:rsidR="00C13128" w:rsidRPr="00C57E71" w:rsidRDefault="00C13128" w:rsidP="00753933">
            <w:pPr>
              <w:spacing w:after="0" w:line="240" w:lineRule="auto"/>
              <w:rPr>
                <w:rFonts w:eastAsia="Times New Roman" w:cs="Times New Roman"/>
                <w:b/>
                <w:color w:val="FFFFFF" w:themeColor="background1"/>
                <w:sz w:val="20"/>
                <w:szCs w:val="20"/>
              </w:rPr>
            </w:pPr>
            <w:r w:rsidRPr="00C57E71">
              <w:rPr>
                <w:rFonts w:eastAsia="Times New Roman" w:cs="Times New Roman"/>
                <w:b/>
                <w:color w:val="FFFFFF" w:themeColor="background1"/>
                <w:sz w:val="20"/>
                <w:szCs w:val="20"/>
              </w:rPr>
              <w:t>Measure [Source]</w:t>
            </w:r>
          </w:p>
        </w:tc>
        <w:tc>
          <w:tcPr>
            <w:tcW w:w="1590" w:type="dxa"/>
            <w:shd w:val="clear" w:color="auto" w:fill="0070C0"/>
            <w:tcMar>
              <w:top w:w="0" w:type="dxa"/>
              <w:left w:w="43" w:type="dxa"/>
              <w:bottom w:w="0" w:type="dxa"/>
              <w:right w:w="43" w:type="dxa"/>
            </w:tcMar>
            <w:hideMark/>
          </w:tcPr>
          <w:p w14:paraId="6D53B6EE" w14:textId="77777777" w:rsidR="00C13128" w:rsidRPr="00C57E71" w:rsidRDefault="00C13128" w:rsidP="00753933">
            <w:pPr>
              <w:spacing w:after="0" w:line="240" w:lineRule="auto"/>
              <w:jc w:val="center"/>
              <w:rPr>
                <w:rFonts w:eastAsia="Times New Roman" w:cs="Arial"/>
                <w:b/>
                <w:color w:val="FFFFFF" w:themeColor="background1"/>
                <w:sz w:val="20"/>
                <w:szCs w:val="20"/>
              </w:rPr>
            </w:pPr>
            <w:r w:rsidRPr="00C57E71">
              <w:rPr>
                <w:b/>
                <w:color w:val="FFFFFF" w:themeColor="background1"/>
                <w:sz w:val="20"/>
                <w:szCs w:val="20"/>
              </w:rPr>
              <w:t>Baseline</w:t>
            </w:r>
          </w:p>
        </w:tc>
        <w:tc>
          <w:tcPr>
            <w:tcW w:w="1080" w:type="dxa"/>
            <w:shd w:val="clear" w:color="auto" w:fill="0070C0"/>
            <w:tcMar>
              <w:top w:w="0" w:type="dxa"/>
              <w:left w:w="43" w:type="dxa"/>
              <w:bottom w:w="0" w:type="dxa"/>
              <w:right w:w="43" w:type="dxa"/>
            </w:tcMar>
            <w:hideMark/>
          </w:tcPr>
          <w:p w14:paraId="3F9DC152" w14:textId="77777777" w:rsidR="00C13128" w:rsidRPr="00C57E71" w:rsidRDefault="00C13128" w:rsidP="00753933">
            <w:pPr>
              <w:spacing w:after="0" w:line="240" w:lineRule="auto"/>
              <w:jc w:val="center"/>
              <w:rPr>
                <w:rFonts w:eastAsia="Times New Roman" w:cs="Arial"/>
                <w:b/>
                <w:color w:val="FFFFFF" w:themeColor="background1"/>
                <w:sz w:val="20"/>
                <w:szCs w:val="20"/>
              </w:rPr>
            </w:pPr>
            <w:r w:rsidRPr="00C57E71">
              <w:rPr>
                <w:b/>
                <w:color w:val="FFFFFF" w:themeColor="background1"/>
                <w:sz w:val="20"/>
                <w:szCs w:val="20"/>
              </w:rPr>
              <w:t>Current</w:t>
            </w:r>
          </w:p>
        </w:tc>
        <w:tc>
          <w:tcPr>
            <w:tcW w:w="2602" w:type="dxa"/>
            <w:shd w:val="clear" w:color="auto" w:fill="0070C0"/>
            <w:tcMar>
              <w:top w:w="0" w:type="dxa"/>
              <w:left w:w="43" w:type="dxa"/>
              <w:bottom w:w="0" w:type="dxa"/>
              <w:right w:w="43" w:type="dxa"/>
            </w:tcMar>
            <w:hideMark/>
          </w:tcPr>
          <w:p w14:paraId="220E402E" w14:textId="77777777" w:rsidR="00C13128" w:rsidRPr="00C57E71" w:rsidRDefault="00C13128" w:rsidP="00753933">
            <w:pPr>
              <w:spacing w:after="0" w:line="240" w:lineRule="auto"/>
              <w:jc w:val="center"/>
              <w:rPr>
                <w:rFonts w:eastAsia="Times New Roman" w:cs="Arial"/>
                <w:b/>
                <w:color w:val="FFFFFF" w:themeColor="background1"/>
                <w:sz w:val="20"/>
                <w:szCs w:val="20"/>
              </w:rPr>
            </w:pPr>
            <w:r w:rsidRPr="00C57E71">
              <w:rPr>
                <w:b/>
                <w:color w:val="FFFFFF" w:themeColor="background1"/>
                <w:sz w:val="20"/>
                <w:szCs w:val="20"/>
              </w:rPr>
              <w:t>PY5 (2022) Target</w:t>
            </w:r>
          </w:p>
        </w:tc>
      </w:tr>
      <w:tr w:rsidR="00C13128" w:rsidRPr="00C57E71" w14:paraId="10E2A70B" w14:textId="77777777" w:rsidTr="00753933">
        <w:trPr>
          <w:trHeight w:val="288"/>
        </w:trPr>
        <w:tc>
          <w:tcPr>
            <w:tcW w:w="5512" w:type="dxa"/>
            <w:shd w:val="clear" w:color="auto" w:fill="auto"/>
            <w:tcMar>
              <w:top w:w="0" w:type="dxa"/>
              <w:left w:w="43" w:type="dxa"/>
              <w:bottom w:w="0" w:type="dxa"/>
              <w:right w:w="43" w:type="dxa"/>
            </w:tcMar>
          </w:tcPr>
          <w:p w14:paraId="6034ACF0" w14:textId="77777777" w:rsidR="00C13128" w:rsidRPr="00C57E71" w:rsidRDefault="00C13128" w:rsidP="00753933">
            <w:pPr>
              <w:spacing w:after="0" w:line="240" w:lineRule="auto"/>
              <w:rPr>
                <w:rFonts w:eastAsia="Times New Roman" w:cs="Arial"/>
                <w:sz w:val="20"/>
                <w:szCs w:val="20"/>
              </w:rPr>
            </w:pPr>
            <w:r w:rsidRPr="00C57E71">
              <w:rPr>
                <w:sz w:val="20"/>
                <w:szCs w:val="20"/>
              </w:rPr>
              <w:t>Percentage of adults with a usual primary care provider [BRFSS]</w:t>
            </w:r>
          </w:p>
        </w:tc>
        <w:tc>
          <w:tcPr>
            <w:tcW w:w="1590" w:type="dxa"/>
            <w:shd w:val="clear" w:color="auto" w:fill="auto"/>
            <w:tcMar>
              <w:top w:w="0" w:type="dxa"/>
              <w:left w:w="43" w:type="dxa"/>
              <w:bottom w:w="0" w:type="dxa"/>
              <w:right w:w="43" w:type="dxa"/>
            </w:tcMar>
            <w:vAlign w:val="center"/>
          </w:tcPr>
          <w:p w14:paraId="5FDB6587"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87% (2014)</w:t>
            </w:r>
          </w:p>
        </w:tc>
        <w:tc>
          <w:tcPr>
            <w:tcW w:w="1080" w:type="dxa"/>
            <w:shd w:val="clear" w:color="auto" w:fill="auto"/>
            <w:tcMar>
              <w:top w:w="0" w:type="dxa"/>
              <w:left w:w="43" w:type="dxa"/>
              <w:bottom w:w="0" w:type="dxa"/>
              <w:right w:w="43" w:type="dxa"/>
            </w:tcMar>
            <w:vAlign w:val="center"/>
          </w:tcPr>
          <w:p w14:paraId="7ED2CCEC"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87% (2017)</w:t>
            </w:r>
          </w:p>
        </w:tc>
        <w:tc>
          <w:tcPr>
            <w:tcW w:w="2602" w:type="dxa"/>
            <w:shd w:val="clear" w:color="auto" w:fill="auto"/>
            <w:tcMar>
              <w:top w:w="0" w:type="dxa"/>
              <w:left w:w="43" w:type="dxa"/>
              <w:bottom w:w="0" w:type="dxa"/>
              <w:right w:w="43" w:type="dxa"/>
            </w:tcMar>
            <w:vAlign w:val="center"/>
          </w:tcPr>
          <w:p w14:paraId="780C749D"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89%</w:t>
            </w:r>
          </w:p>
        </w:tc>
      </w:tr>
      <w:tr w:rsidR="00C13128" w:rsidRPr="00C57E71" w14:paraId="05AD7D17" w14:textId="77777777" w:rsidTr="00753933">
        <w:trPr>
          <w:trHeight w:val="288"/>
        </w:trPr>
        <w:tc>
          <w:tcPr>
            <w:tcW w:w="5512" w:type="dxa"/>
            <w:shd w:val="clear" w:color="auto" w:fill="auto"/>
            <w:tcMar>
              <w:top w:w="0" w:type="dxa"/>
              <w:left w:w="43" w:type="dxa"/>
              <w:bottom w:w="0" w:type="dxa"/>
              <w:right w:w="43" w:type="dxa"/>
            </w:tcMar>
          </w:tcPr>
          <w:p w14:paraId="622F1C26" w14:textId="77777777" w:rsidR="00C13128" w:rsidRPr="00C57E71" w:rsidRDefault="00C13128" w:rsidP="00753933">
            <w:pPr>
              <w:spacing w:after="0" w:line="240" w:lineRule="auto"/>
              <w:rPr>
                <w:rFonts w:eastAsia="Times New Roman" w:cs="Arial"/>
                <w:sz w:val="20"/>
                <w:szCs w:val="20"/>
              </w:rPr>
            </w:pPr>
            <w:r w:rsidRPr="00C57E71">
              <w:rPr>
                <w:sz w:val="20"/>
                <w:szCs w:val="20"/>
              </w:rPr>
              <w:t>Medicare ACO Composite of 5 questions on getting timely care, appointments, and information [ACO CAHPS survey]</w:t>
            </w:r>
          </w:p>
        </w:tc>
        <w:tc>
          <w:tcPr>
            <w:tcW w:w="1590" w:type="dxa"/>
            <w:shd w:val="clear" w:color="auto" w:fill="auto"/>
            <w:tcMar>
              <w:top w:w="0" w:type="dxa"/>
              <w:left w:w="43" w:type="dxa"/>
              <w:bottom w:w="0" w:type="dxa"/>
              <w:right w:w="43" w:type="dxa"/>
            </w:tcMar>
            <w:vAlign w:val="center"/>
          </w:tcPr>
          <w:p w14:paraId="4457BEC3"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~70-80</w:t>
            </w:r>
            <w:r w:rsidRPr="00C57E71">
              <w:rPr>
                <w:sz w:val="20"/>
                <w:szCs w:val="20"/>
                <w:vertAlign w:val="superscript"/>
              </w:rPr>
              <w:t>th</w:t>
            </w:r>
            <w:r w:rsidRPr="00C57E71">
              <w:rPr>
                <w:sz w:val="20"/>
                <w:szCs w:val="20"/>
              </w:rPr>
              <w:t xml:space="preserve"> percentile</w:t>
            </w:r>
          </w:p>
        </w:tc>
        <w:tc>
          <w:tcPr>
            <w:tcW w:w="1080" w:type="dxa"/>
            <w:shd w:val="clear" w:color="auto" w:fill="auto"/>
            <w:tcMar>
              <w:top w:w="0" w:type="dxa"/>
              <w:left w:w="43" w:type="dxa"/>
              <w:bottom w:w="0" w:type="dxa"/>
              <w:right w:w="43" w:type="dxa"/>
            </w:tcMar>
            <w:vAlign w:val="center"/>
          </w:tcPr>
          <w:p w14:paraId="753E1A53" w14:textId="77777777" w:rsidR="00C13128" w:rsidRPr="007120D0" w:rsidRDefault="00C13128" w:rsidP="00753933">
            <w:pPr>
              <w:spacing w:after="0" w:line="240" w:lineRule="auto"/>
              <w:jc w:val="center"/>
              <w:rPr>
                <w:rFonts w:eastAsia="Times New Roman" w:cs="Arial"/>
                <w:sz w:val="20"/>
                <w:szCs w:val="20"/>
                <w:vertAlign w:val="superscript"/>
              </w:rPr>
            </w:pPr>
            <w:r w:rsidRPr="00C57E71">
              <w:rPr>
                <w:sz w:val="20"/>
                <w:szCs w:val="20"/>
              </w:rPr>
              <w:t>TBD</w:t>
            </w:r>
            <w:r>
              <w:rPr>
                <w:sz w:val="20"/>
                <w:szCs w:val="20"/>
                <w:vertAlign w:val="superscript"/>
              </w:rPr>
              <w:t>1</w:t>
            </w:r>
          </w:p>
        </w:tc>
        <w:tc>
          <w:tcPr>
            <w:tcW w:w="2602" w:type="dxa"/>
            <w:shd w:val="clear" w:color="auto" w:fill="auto"/>
            <w:tcMar>
              <w:top w:w="0" w:type="dxa"/>
              <w:left w:w="43" w:type="dxa"/>
              <w:bottom w:w="0" w:type="dxa"/>
              <w:right w:w="43" w:type="dxa"/>
            </w:tcMar>
            <w:vAlign w:val="center"/>
          </w:tcPr>
          <w:p w14:paraId="6A84DA0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75</w:t>
            </w:r>
            <w:r w:rsidRPr="00C57E71">
              <w:rPr>
                <w:sz w:val="20"/>
                <w:szCs w:val="20"/>
                <w:vertAlign w:val="superscript"/>
              </w:rPr>
              <w:t>th</w:t>
            </w:r>
            <w:r w:rsidRPr="00C57E71">
              <w:rPr>
                <w:sz w:val="20"/>
                <w:szCs w:val="20"/>
              </w:rPr>
              <w:t xml:space="preserve"> percentile compared to Medicare nationally</w:t>
            </w:r>
          </w:p>
        </w:tc>
      </w:tr>
      <w:tr w:rsidR="00C13128" w:rsidRPr="00C57E71" w14:paraId="50B1299C" w14:textId="77777777" w:rsidTr="00753933">
        <w:trPr>
          <w:trHeight w:val="288"/>
        </w:trPr>
        <w:tc>
          <w:tcPr>
            <w:tcW w:w="5512" w:type="dxa"/>
            <w:shd w:val="clear" w:color="auto" w:fill="auto"/>
            <w:tcMar>
              <w:top w:w="0" w:type="dxa"/>
              <w:left w:w="43" w:type="dxa"/>
              <w:bottom w:w="0" w:type="dxa"/>
              <w:right w:w="43" w:type="dxa"/>
            </w:tcMar>
          </w:tcPr>
          <w:p w14:paraId="6BA48B75" w14:textId="77777777" w:rsidR="00C13128" w:rsidRPr="00C57E71" w:rsidRDefault="00C13128" w:rsidP="00753933">
            <w:pPr>
              <w:spacing w:after="0" w:line="240" w:lineRule="auto"/>
              <w:rPr>
                <w:rFonts w:eastAsia="Times New Roman" w:cs="Arial"/>
                <w:sz w:val="20"/>
                <w:szCs w:val="20"/>
              </w:rPr>
            </w:pPr>
            <w:r w:rsidRPr="00C57E71">
              <w:rPr>
                <w:sz w:val="20"/>
                <w:szCs w:val="20"/>
              </w:rPr>
              <w:t>Percentage of Medicaid adolescents with well-care visits [Claims]</w:t>
            </w:r>
          </w:p>
        </w:tc>
        <w:tc>
          <w:tcPr>
            <w:tcW w:w="1590" w:type="dxa"/>
            <w:shd w:val="clear" w:color="auto" w:fill="auto"/>
            <w:tcMar>
              <w:top w:w="0" w:type="dxa"/>
              <w:left w:w="43" w:type="dxa"/>
              <w:bottom w:w="0" w:type="dxa"/>
              <w:right w:w="43" w:type="dxa"/>
            </w:tcMar>
            <w:vAlign w:val="center"/>
          </w:tcPr>
          <w:p w14:paraId="2286F8DF"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25</w:t>
            </w:r>
            <w:r w:rsidRPr="00C57E71">
              <w:rPr>
                <w:sz w:val="20"/>
                <w:szCs w:val="20"/>
                <w:vertAlign w:val="superscript"/>
              </w:rPr>
              <w:t>th</w:t>
            </w:r>
            <w:r w:rsidRPr="00C57E71">
              <w:rPr>
                <w:sz w:val="20"/>
                <w:szCs w:val="20"/>
              </w:rPr>
              <w:t xml:space="preserve"> percentile</w:t>
            </w:r>
          </w:p>
        </w:tc>
        <w:tc>
          <w:tcPr>
            <w:tcW w:w="1080" w:type="dxa"/>
            <w:shd w:val="clear" w:color="auto" w:fill="auto"/>
            <w:tcMar>
              <w:top w:w="0" w:type="dxa"/>
              <w:left w:w="43" w:type="dxa"/>
              <w:bottom w:w="0" w:type="dxa"/>
              <w:right w:w="43" w:type="dxa"/>
            </w:tcMar>
            <w:vAlign w:val="center"/>
          </w:tcPr>
          <w:p w14:paraId="2F06561C" w14:textId="77777777" w:rsidR="00C13128" w:rsidRPr="00C57E71" w:rsidRDefault="00C13128" w:rsidP="00753933">
            <w:pPr>
              <w:spacing w:after="0" w:line="240" w:lineRule="auto"/>
              <w:jc w:val="center"/>
              <w:rPr>
                <w:sz w:val="20"/>
                <w:szCs w:val="20"/>
              </w:rPr>
            </w:pPr>
            <w:r w:rsidRPr="00C57E71">
              <w:rPr>
                <w:sz w:val="20"/>
                <w:szCs w:val="20"/>
              </w:rPr>
              <w:t>50-75</w:t>
            </w:r>
            <w:r w:rsidRPr="00C57E71">
              <w:rPr>
                <w:sz w:val="20"/>
                <w:szCs w:val="20"/>
                <w:vertAlign w:val="superscript"/>
              </w:rPr>
              <w:t>th</w:t>
            </w:r>
            <w:r w:rsidRPr="00C57E71">
              <w:rPr>
                <w:sz w:val="20"/>
                <w:szCs w:val="20"/>
              </w:rPr>
              <w:t xml:space="preserve"> percentile</w:t>
            </w:r>
            <w:r>
              <w:rPr>
                <w:sz w:val="20"/>
                <w:szCs w:val="20"/>
                <w:vertAlign w:val="superscript"/>
              </w:rPr>
              <w:t>2</w:t>
            </w:r>
            <w:r w:rsidRPr="00C57E71">
              <w:rPr>
                <w:sz w:val="20"/>
                <w:szCs w:val="20"/>
              </w:rPr>
              <w:t xml:space="preserve"> </w:t>
            </w:r>
          </w:p>
          <w:p w14:paraId="21223482"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(2017)</w:t>
            </w:r>
          </w:p>
        </w:tc>
        <w:tc>
          <w:tcPr>
            <w:tcW w:w="2602" w:type="dxa"/>
            <w:shd w:val="clear" w:color="auto" w:fill="auto"/>
            <w:tcMar>
              <w:top w:w="0" w:type="dxa"/>
              <w:left w:w="43" w:type="dxa"/>
              <w:bottom w:w="0" w:type="dxa"/>
              <w:right w:w="43" w:type="dxa"/>
            </w:tcMar>
            <w:vAlign w:val="center"/>
          </w:tcPr>
          <w:p w14:paraId="38452BE1"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50</w:t>
            </w:r>
            <w:r w:rsidRPr="00C57E71">
              <w:rPr>
                <w:sz w:val="20"/>
                <w:szCs w:val="20"/>
                <w:vertAlign w:val="superscript"/>
              </w:rPr>
              <w:t>th</w:t>
            </w:r>
            <w:r w:rsidRPr="00C57E71">
              <w:rPr>
                <w:sz w:val="20"/>
                <w:szCs w:val="20"/>
              </w:rPr>
              <w:t xml:space="preserve"> percentile compared to Medicaid nationally</w:t>
            </w:r>
          </w:p>
        </w:tc>
      </w:tr>
      <w:tr w:rsidR="00C13128" w:rsidRPr="00C57E71" w14:paraId="7AF33855" w14:textId="77777777" w:rsidTr="00753933">
        <w:trPr>
          <w:trHeight w:val="288"/>
        </w:trPr>
        <w:tc>
          <w:tcPr>
            <w:tcW w:w="5512" w:type="dxa"/>
            <w:shd w:val="clear" w:color="auto" w:fill="auto"/>
            <w:tcMar>
              <w:top w:w="0" w:type="dxa"/>
              <w:left w:w="43" w:type="dxa"/>
              <w:bottom w:w="0" w:type="dxa"/>
              <w:right w:w="43" w:type="dxa"/>
            </w:tcMar>
          </w:tcPr>
          <w:p w14:paraId="37961B77" w14:textId="77777777" w:rsidR="00C13128" w:rsidRPr="00C57E71" w:rsidRDefault="00C13128" w:rsidP="00753933">
            <w:pPr>
              <w:spacing w:after="0" w:line="240" w:lineRule="auto"/>
              <w:rPr>
                <w:rFonts w:eastAsia="Times New Roman" w:cs="Arial"/>
                <w:sz w:val="20"/>
                <w:szCs w:val="20"/>
              </w:rPr>
            </w:pPr>
            <w:r w:rsidRPr="00C57E71">
              <w:rPr>
                <w:sz w:val="20"/>
                <w:szCs w:val="20"/>
              </w:rPr>
              <w:t>Percentage of Medicaid enrollees aligned with ACO [PCP selection and claims]</w:t>
            </w:r>
          </w:p>
        </w:tc>
        <w:tc>
          <w:tcPr>
            <w:tcW w:w="1590" w:type="dxa"/>
            <w:shd w:val="clear" w:color="auto" w:fill="auto"/>
            <w:tcMar>
              <w:top w:w="0" w:type="dxa"/>
              <w:left w:w="43" w:type="dxa"/>
              <w:bottom w:w="0" w:type="dxa"/>
              <w:right w:w="43" w:type="dxa"/>
            </w:tcMar>
            <w:vAlign w:val="center"/>
          </w:tcPr>
          <w:p w14:paraId="14A87D40" w14:textId="77777777" w:rsidR="00C13128" w:rsidRPr="00C57E71" w:rsidRDefault="00C13128" w:rsidP="00753933">
            <w:pPr>
              <w:spacing w:after="0" w:line="240" w:lineRule="auto"/>
              <w:jc w:val="center"/>
              <w:rPr>
                <w:sz w:val="20"/>
                <w:szCs w:val="20"/>
              </w:rPr>
            </w:pPr>
            <w:r w:rsidRPr="00C57E71">
              <w:rPr>
                <w:sz w:val="20"/>
                <w:szCs w:val="20"/>
              </w:rPr>
              <w:t xml:space="preserve">55.5% </w:t>
            </w:r>
          </w:p>
          <w:p w14:paraId="1ED9ABA3"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(Jan. 2016)</w:t>
            </w:r>
          </w:p>
        </w:tc>
        <w:tc>
          <w:tcPr>
            <w:tcW w:w="1080" w:type="dxa"/>
            <w:shd w:val="clear" w:color="auto" w:fill="auto"/>
            <w:tcMar>
              <w:top w:w="0" w:type="dxa"/>
              <w:left w:w="43" w:type="dxa"/>
              <w:bottom w:w="0" w:type="dxa"/>
              <w:right w:w="43" w:type="dxa"/>
            </w:tcMar>
            <w:vAlign w:val="center"/>
          </w:tcPr>
          <w:p w14:paraId="1F9A4636" w14:textId="77777777" w:rsidR="00C13128" w:rsidRPr="007120D0" w:rsidRDefault="00C13128" w:rsidP="00753933">
            <w:pPr>
              <w:spacing w:after="0" w:line="240" w:lineRule="auto"/>
              <w:jc w:val="center"/>
              <w:rPr>
                <w:rFonts w:eastAsia="Times New Roman" w:cs="Arial"/>
                <w:sz w:val="20"/>
                <w:szCs w:val="20"/>
                <w:vertAlign w:val="superscript"/>
              </w:rPr>
            </w:pPr>
            <w:r w:rsidRPr="00C57E71">
              <w:rPr>
                <w:sz w:val="20"/>
                <w:szCs w:val="20"/>
              </w:rPr>
              <w:t>TBD</w:t>
            </w:r>
            <w:r>
              <w:rPr>
                <w:sz w:val="20"/>
                <w:szCs w:val="20"/>
                <w:vertAlign w:val="superscript"/>
              </w:rPr>
              <w:t>3</w:t>
            </w:r>
          </w:p>
        </w:tc>
        <w:tc>
          <w:tcPr>
            <w:tcW w:w="2602" w:type="dxa"/>
            <w:shd w:val="clear" w:color="auto" w:fill="auto"/>
            <w:tcMar>
              <w:top w:w="0" w:type="dxa"/>
              <w:left w:w="43" w:type="dxa"/>
              <w:bottom w:w="0" w:type="dxa"/>
              <w:right w:w="43" w:type="dxa"/>
            </w:tcMar>
            <w:vAlign w:val="center"/>
          </w:tcPr>
          <w:p w14:paraId="7C844FB8"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No more than 15 percentage points below % of Vermont Medicare beneficiaries aligned to a Vermont ACO</w:t>
            </w:r>
          </w:p>
        </w:tc>
      </w:tr>
      <w:tr w:rsidR="00C13128" w:rsidRPr="00C57E71" w14:paraId="14B4465F" w14:textId="77777777" w:rsidTr="00753933">
        <w:trPr>
          <w:trHeight w:val="288"/>
        </w:trPr>
        <w:tc>
          <w:tcPr>
            <w:tcW w:w="5512" w:type="dxa"/>
            <w:shd w:val="clear" w:color="auto" w:fill="auto"/>
            <w:tcMar>
              <w:top w:w="0" w:type="dxa"/>
              <w:left w:w="43" w:type="dxa"/>
              <w:bottom w:w="0" w:type="dxa"/>
              <w:right w:w="43" w:type="dxa"/>
            </w:tcMar>
          </w:tcPr>
          <w:p w14:paraId="5FC503B2" w14:textId="77777777" w:rsidR="00C13128" w:rsidRPr="00C57E71" w:rsidRDefault="00C13128" w:rsidP="00753933">
            <w:pPr>
              <w:spacing w:after="0" w:line="240" w:lineRule="auto"/>
              <w:rPr>
                <w:rFonts w:eastAsia="Times New Roman" w:cs="Arial"/>
                <w:sz w:val="20"/>
                <w:szCs w:val="20"/>
              </w:rPr>
            </w:pPr>
            <w:r w:rsidRPr="00C57E71">
              <w:rPr>
                <w:sz w:val="20"/>
                <w:szCs w:val="20"/>
              </w:rPr>
              <w:t>Deaths related to suicide per 100,000 [Vital Statistics]</w:t>
            </w:r>
          </w:p>
        </w:tc>
        <w:tc>
          <w:tcPr>
            <w:tcW w:w="1590" w:type="dxa"/>
            <w:shd w:val="clear" w:color="auto" w:fill="auto"/>
            <w:tcMar>
              <w:top w:w="0" w:type="dxa"/>
              <w:left w:w="43" w:type="dxa"/>
              <w:bottom w:w="0" w:type="dxa"/>
              <w:right w:w="43" w:type="dxa"/>
            </w:tcMar>
            <w:vAlign w:val="center"/>
          </w:tcPr>
          <w:p w14:paraId="242BB662" w14:textId="77777777" w:rsidR="00C13128" w:rsidRPr="00C57E71" w:rsidRDefault="00C13128" w:rsidP="00753933">
            <w:pPr>
              <w:spacing w:after="0" w:line="240" w:lineRule="auto"/>
              <w:jc w:val="center"/>
              <w:rPr>
                <w:sz w:val="20"/>
                <w:szCs w:val="20"/>
              </w:rPr>
            </w:pPr>
            <w:r w:rsidRPr="00C57E71">
              <w:rPr>
                <w:sz w:val="20"/>
                <w:szCs w:val="20"/>
              </w:rPr>
              <w:t xml:space="preserve">16.9 </w:t>
            </w:r>
          </w:p>
          <w:p w14:paraId="3C00849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(2013)</w:t>
            </w:r>
          </w:p>
        </w:tc>
        <w:tc>
          <w:tcPr>
            <w:tcW w:w="1080" w:type="dxa"/>
            <w:shd w:val="clear" w:color="auto" w:fill="auto"/>
            <w:tcMar>
              <w:top w:w="0" w:type="dxa"/>
              <w:left w:w="43" w:type="dxa"/>
              <w:bottom w:w="0" w:type="dxa"/>
              <w:right w:w="43" w:type="dxa"/>
            </w:tcMar>
            <w:vAlign w:val="center"/>
          </w:tcPr>
          <w:p w14:paraId="7AEBC7DB" w14:textId="77777777" w:rsidR="00C13128" w:rsidRPr="00C57E71" w:rsidRDefault="00C13128" w:rsidP="00753933">
            <w:pPr>
              <w:spacing w:after="0" w:line="240" w:lineRule="auto"/>
              <w:jc w:val="center"/>
              <w:rPr>
                <w:sz w:val="20"/>
                <w:szCs w:val="20"/>
              </w:rPr>
            </w:pPr>
            <w:r w:rsidRPr="00C57E71">
              <w:rPr>
                <w:sz w:val="20"/>
                <w:szCs w:val="20"/>
              </w:rPr>
              <w:t xml:space="preserve">18.9 </w:t>
            </w:r>
          </w:p>
          <w:p w14:paraId="425F1A70"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(2016)</w:t>
            </w:r>
          </w:p>
        </w:tc>
        <w:tc>
          <w:tcPr>
            <w:tcW w:w="2602" w:type="dxa"/>
            <w:shd w:val="clear" w:color="auto" w:fill="auto"/>
            <w:tcMar>
              <w:top w:w="0" w:type="dxa"/>
              <w:left w:w="43" w:type="dxa"/>
              <w:bottom w:w="0" w:type="dxa"/>
              <w:right w:w="43" w:type="dxa"/>
            </w:tcMar>
            <w:vAlign w:val="center"/>
          </w:tcPr>
          <w:p w14:paraId="55861A85"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 xml:space="preserve">16 per 100,000 Vermont residents </w:t>
            </w:r>
            <w:r w:rsidRPr="00C57E71">
              <w:rPr>
                <w:sz w:val="20"/>
                <w:szCs w:val="20"/>
                <w:u w:val="single"/>
              </w:rPr>
              <w:t>or</w:t>
            </w:r>
            <w:r w:rsidRPr="00C57E71">
              <w:rPr>
                <w:sz w:val="20"/>
                <w:szCs w:val="20"/>
              </w:rPr>
              <w:t xml:space="preserve"> no worse than 20</w:t>
            </w:r>
            <w:r w:rsidRPr="00C57E71">
              <w:rPr>
                <w:sz w:val="20"/>
                <w:szCs w:val="20"/>
                <w:vertAlign w:val="superscript"/>
              </w:rPr>
              <w:t>th</w:t>
            </w:r>
            <w:r w:rsidRPr="00C57E71">
              <w:rPr>
                <w:sz w:val="20"/>
                <w:szCs w:val="20"/>
              </w:rPr>
              <w:t xml:space="preserve"> highest rate nationally</w:t>
            </w:r>
          </w:p>
        </w:tc>
      </w:tr>
      <w:tr w:rsidR="00C13128" w:rsidRPr="00C57E71" w14:paraId="2B37C5F0" w14:textId="77777777" w:rsidTr="00753933">
        <w:trPr>
          <w:trHeight w:val="288"/>
        </w:trPr>
        <w:tc>
          <w:tcPr>
            <w:tcW w:w="5512" w:type="dxa"/>
            <w:shd w:val="clear" w:color="auto" w:fill="auto"/>
            <w:tcMar>
              <w:top w:w="0" w:type="dxa"/>
              <w:left w:w="43" w:type="dxa"/>
              <w:bottom w:w="0" w:type="dxa"/>
              <w:right w:w="43" w:type="dxa"/>
            </w:tcMar>
          </w:tcPr>
          <w:p w14:paraId="62FC6D1F" w14:textId="77777777" w:rsidR="00C13128" w:rsidRPr="00C57E71" w:rsidRDefault="00C13128" w:rsidP="00753933">
            <w:pPr>
              <w:spacing w:after="0" w:line="240" w:lineRule="auto"/>
              <w:rPr>
                <w:rFonts w:eastAsia="Times New Roman" w:cs="Arial"/>
                <w:sz w:val="20"/>
                <w:szCs w:val="20"/>
              </w:rPr>
            </w:pPr>
            <w:r w:rsidRPr="00C57E71">
              <w:rPr>
                <w:sz w:val="20"/>
                <w:szCs w:val="20"/>
              </w:rPr>
              <w:t>Vermont Resident deaths related to drug overdose [Vital Stats]</w:t>
            </w:r>
          </w:p>
        </w:tc>
        <w:tc>
          <w:tcPr>
            <w:tcW w:w="1590" w:type="dxa"/>
            <w:shd w:val="clear" w:color="auto" w:fill="auto"/>
            <w:tcMar>
              <w:top w:w="0" w:type="dxa"/>
              <w:left w:w="43" w:type="dxa"/>
              <w:bottom w:w="0" w:type="dxa"/>
              <w:right w:w="43" w:type="dxa"/>
            </w:tcMar>
            <w:vAlign w:val="center"/>
          </w:tcPr>
          <w:p w14:paraId="08F32A76"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129 (2016)</w:t>
            </w:r>
          </w:p>
        </w:tc>
        <w:tc>
          <w:tcPr>
            <w:tcW w:w="1080" w:type="dxa"/>
            <w:shd w:val="clear" w:color="auto" w:fill="auto"/>
            <w:tcMar>
              <w:top w:w="0" w:type="dxa"/>
              <w:left w:w="43" w:type="dxa"/>
              <w:bottom w:w="0" w:type="dxa"/>
              <w:right w:w="43" w:type="dxa"/>
            </w:tcMar>
            <w:vAlign w:val="center"/>
          </w:tcPr>
          <w:p w14:paraId="73B0AF6E"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124 (2017)</w:t>
            </w:r>
          </w:p>
        </w:tc>
        <w:tc>
          <w:tcPr>
            <w:tcW w:w="2602" w:type="dxa"/>
            <w:shd w:val="clear" w:color="auto" w:fill="auto"/>
            <w:tcMar>
              <w:top w:w="0" w:type="dxa"/>
              <w:left w:w="43" w:type="dxa"/>
              <w:bottom w:w="0" w:type="dxa"/>
              <w:right w:w="43" w:type="dxa"/>
            </w:tcMar>
            <w:vAlign w:val="center"/>
          </w:tcPr>
          <w:p w14:paraId="5C470280"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Reduce by 10% (116)</w:t>
            </w:r>
          </w:p>
        </w:tc>
      </w:tr>
      <w:tr w:rsidR="00C13128" w:rsidRPr="00C57E71" w14:paraId="14014F0F" w14:textId="77777777" w:rsidTr="00753933">
        <w:trPr>
          <w:trHeight w:val="288"/>
        </w:trPr>
        <w:tc>
          <w:tcPr>
            <w:tcW w:w="5512" w:type="dxa"/>
            <w:shd w:val="clear" w:color="auto" w:fill="auto"/>
            <w:tcMar>
              <w:top w:w="0" w:type="dxa"/>
              <w:left w:w="43" w:type="dxa"/>
              <w:bottom w:w="0" w:type="dxa"/>
              <w:right w:w="43" w:type="dxa"/>
            </w:tcMar>
          </w:tcPr>
          <w:p w14:paraId="15B14F13" w14:textId="77777777" w:rsidR="00C13128" w:rsidRPr="00C57E71" w:rsidRDefault="00C13128" w:rsidP="00753933">
            <w:pPr>
              <w:spacing w:after="0" w:line="240" w:lineRule="auto"/>
              <w:rPr>
                <w:rFonts w:eastAsia="Times New Roman" w:cs="Arial"/>
                <w:sz w:val="20"/>
                <w:szCs w:val="20"/>
              </w:rPr>
            </w:pPr>
            <w:r w:rsidRPr="00C57E71">
              <w:rPr>
                <w:sz w:val="20"/>
                <w:szCs w:val="20"/>
              </w:rPr>
              <w:t>Multi-Payer ACO initiation of alcohol and other drug dependence treatment [Claims]</w:t>
            </w:r>
          </w:p>
        </w:tc>
        <w:tc>
          <w:tcPr>
            <w:tcW w:w="1590" w:type="dxa"/>
            <w:shd w:val="clear" w:color="auto" w:fill="auto"/>
            <w:tcMar>
              <w:top w:w="0" w:type="dxa"/>
              <w:left w:w="43" w:type="dxa"/>
              <w:bottom w:w="0" w:type="dxa"/>
              <w:right w:w="43" w:type="dxa"/>
            </w:tcMar>
            <w:vAlign w:val="center"/>
          </w:tcPr>
          <w:p w14:paraId="4E3338EF"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25</w:t>
            </w:r>
            <w:r w:rsidRPr="00C57E71">
              <w:rPr>
                <w:sz w:val="20"/>
                <w:szCs w:val="20"/>
                <w:vertAlign w:val="superscript"/>
              </w:rPr>
              <w:t>th</w:t>
            </w:r>
            <w:r w:rsidRPr="00C57E71">
              <w:rPr>
                <w:sz w:val="20"/>
                <w:szCs w:val="20"/>
              </w:rPr>
              <w:t xml:space="preserve"> percentile</w:t>
            </w:r>
          </w:p>
        </w:tc>
        <w:tc>
          <w:tcPr>
            <w:tcW w:w="1080" w:type="dxa"/>
            <w:shd w:val="clear" w:color="auto" w:fill="auto"/>
            <w:tcMar>
              <w:top w:w="0" w:type="dxa"/>
              <w:left w:w="43" w:type="dxa"/>
              <w:bottom w:w="0" w:type="dxa"/>
              <w:right w:w="43" w:type="dxa"/>
            </w:tcMar>
            <w:vAlign w:val="center"/>
          </w:tcPr>
          <w:p w14:paraId="1E1C0909" w14:textId="77777777" w:rsidR="00C13128" w:rsidRPr="007120D0" w:rsidRDefault="00C13128" w:rsidP="00753933">
            <w:pPr>
              <w:spacing w:after="0" w:line="240" w:lineRule="auto"/>
              <w:jc w:val="center"/>
              <w:rPr>
                <w:rFonts w:eastAsia="Times New Roman" w:cs="Arial"/>
                <w:sz w:val="20"/>
                <w:szCs w:val="20"/>
                <w:vertAlign w:val="superscript"/>
              </w:rPr>
            </w:pPr>
            <w:r w:rsidRPr="00C57E71">
              <w:rPr>
                <w:sz w:val="20"/>
                <w:szCs w:val="20"/>
              </w:rPr>
              <w:t>TBD</w:t>
            </w:r>
            <w:r>
              <w:rPr>
                <w:sz w:val="20"/>
                <w:szCs w:val="20"/>
                <w:vertAlign w:val="superscript"/>
              </w:rPr>
              <w:t>4</w:t>
            </w:r>
          </w:p>
        </w:tc>
        <w:tc>
          <w:tcPr>
            <w:tcW w:w="2602" w:type="dxa"/>
            <w:shd w:val="clear" w:color="auto" w:fill="auto"/>
            <w:tcMar>
              <w:top w:w="0" w:type="dxa"/>
              <w:left w:w="43" w:type="dxa"/>
              <w:bottom w:w="0" w:type="dxa"/>
              <w:right w:w="43" w:type="dxa"/>
            </w:tcMar>
            <w:vAlign w:val="center"/>
          </w:tcPr>
          <w:p w14:paraId="34935A70"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50</w:t>
            </w:r>
            <w:r w:rsidRPr="00C57E71">
              <w:rPr>
                <w:sz w:val="20"/>
                <w:szCs w:val="20"/>
                <w:vertAlign w:val="superscript"/>
              </w:rPr>
              <w:t>th</w:t>
            </w:r>
            <w:r w:rsidRPr="00C57E71">
              <w:rPr>
                <w:sz w:val="20"/>
                <w:szCs w:val="20"/>
              </w:rPr>
              <w:t xml:space="preserve"> percentile</w:t>
            </w:r>
          </w:p>
        </w:tc>
      </w:tr>
      <w:tr w:rsidR="00C13128" w:rsidRPr="00C57E71" w14:paraId="724345D0" w14:textId="77777777" w:rsidTr="00753933">
        <w:trPr>
          <w:trHeight w:val="288"/>
        </w:trPr>
        <w:tc>
          <w:tcPr>
            <w:tcW w:w="5512" w:type="dxa"/>
            <w:shd w:val="clear" w:color="auto" w:fill="auto"/>
            <w:tcMar>
              <w:top w:w="0" w:type="dxa"/>
              <w:left w:w="43" w:type="dxa"/>
              <w:bottom w:w="0" w:type="dxa"/>
              <w:right w:w="43" w:type="dxa"/>
            </w:tcMar>
          </w:tcPr>
          <w:p w14:paraId="1142BA29" w14:textId="77777777" w:rsidR="00C13128" w:rsidRPr="00C57E71" w:rsidRDefault="00C13128" w:rsidP="00753933">
            <w:pPr>
              <w:spacing w:after="0" w:line="240" w:lineRule="auto"/>
              <w:rPr>
                <w:rFonts w:eastAsia="Times New Roman" w:cs="Arial"/>
                <w:sz w:val="20"/>
                <w:szCs w:val="20"/>
              </w:rPr>
            </w:pPr>
            <w:r w:rsidRPr="00C57E71">
              <w:rPr>
                <w:sz w:val="20"/>
                <w:szCs w:val="20"/>
              </w:rPr>
              <w:t>Multi-Payer ACO engagement of alcohol and other drug dependence treatment [Claims]</w:t>
            </w:r>
          </w:p>
        </w:tc>
        <w:tc>
          <w:tcPr>
            <w:tcW w:w="1590" w:type="dxa"/>
            <w:shd w:val="clear" w:color="auto" w:fill="auto"/>
            <w:tcMar>
              <w:top w:w="0" w:type="dxa"/>
              <w:left w:w="43" w:type="dxa"/>
              <w:bottom w:w="0" w:type="dxa"/>
              <w:right w:w="43" w:type="dxa"/>
            </w:tcMar>
            <w:vAlign w:val="center"/>
          </w:tcPr>
          <w:p w14:paraId="47EC63DA"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~75</w:t>
            </w:r>
            <w:r w:rsidRPr="00C57E71">
              <w:rPr>
                <w:sz w:val="20"/>
                <w:szCs w:val="20"/>
                <w:vertAlign w:val="superscript"/>
              </w:rPr>
              <w:t>th</w:t>
            </w:r>
            <w:r w:rsidRPr="00C57E71">
              <w:rPr>
                <w:sz w:val="20"/>
                <w:szCs w:val="20"/>
              </w:rPr>
              <w:t xml:space="preserve"> percentile</w:t>
            </w:r>
          </w:p>
        </w:tc>
        <w:tc>
          <w:tcPr>
            <w:tcW w:w="1080" w:type="dxa"/>
            <w:shd w:val="clear" w:color="auto" w:fill="auto"/>
            <w:tcMar>
              <w:top w:w="0" w:type="dxa"/>
              <w:left w:w="43" w:type="dxa"/>
              <w:bottom w:w="0" w:type="dxa"/>
              <w:right w:w="43" w:type="dxa"/>
            </w:tcMar>
            <w:vAlign w:val="center"/>
          </w:tcPr>
          <w:p w14:paraId="52BF7B6F"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TBD</w:t>
            </w:r>
            <w:r w:rsidRPr="00C57E71">
              <w:rPr>
                <w:sz w:val="20"/>
                <w:szCs w:val="20"/>
                <w:vertAlign w:val="superscript"/>
              </w:rPr>
              <w:t>4</w:t>
            </w:r>
            <w:r w:rsidRPr="00C57E71">
              <w:rPr>
                <w:sz w:val="20"/>
                <w:szCs w:val="20"/>
              </w:rPr>
              <w:t xml:space="preserve"> </w:t>
            </w:r>
          </w:p>
        </w:tc>
        <w:tc>
          <w:tcPr>
            <w:tcW w:w="2602" w:type="dxa"/>
            <w:shd w:val="clear" w:color="auto" w:fill="auto"/>
            <w:tcMar>
              <w:top w:w="0" w:type="dxa"/>
              <w:left w:w="43" w:type="dxa"/>
              <w:bottom w:w="0" w:type="dxa"/>
              <w:right w:w="43" w:type="dxa"/>
            </w:tcMar>
            <w:vAlign w:val="center"/>
          </w:tcPr>
          <w:p w14:paraId="16EF37FB"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75</w:t>
            </w:r>
            <w:r w:rsidRPr="00C57E71">
              <w:rPr>
                <w:sz w:val="20"/>
                <w:szCs w:val="20"/>
                <w:vertAlign w:val="superscript"/>
              </w:rPr>
              <w:t>th</w:t>
            </w:r>
            <w:r w:rsidRPr="00C57E71">
              <w:rPr>
                <w:sz w:val="20"/>
                <w:szCs w:val="20"/>
              </w:rPr>
              <w:t xml:space="preserve"> percentile</w:t>
            </w:r>
          </w:p>
        </w:tc>
      </w:tr>
      <w:tr w:rsidR="00C13128" w:rsidRPr="00C57E71" w14:paraId="7C5C0F92" w14:textId="77777777" w:rsidTr="00753933">
        <w:trPr>
          <w:trHeight w:val="288"/>
        </w:trPr>
        <w:tc>
          <w:tcPr>
            <w:tcW w:w="5512" w:type="dxa"/>
            <w:shd w:val="clear" w:color="auto" w:fill="auto"/>
            <w:tcMar>
              <w:top w:w="0" w:type="dxa"/>
              <w:left w:w="43" w:type="dxa"/>
              <w:bottom w:w="0" w:type="dxa"/>
              <w:right w:w="43" w:type="dxa"/>
            </w:tcMar>
          </w:tcPr>
          <w:p w14:paraId="19DA2E28" w14:textId="77777777" w:rsidR="00C13128" w:rsidRPr="00C57E71" w:rsidRDefault="00C13128" w:rsidP="00753933">
            <w:pPr>
              <w:spacing w:after="0" w:line="240" w:lineRule="auto"/>
              <w:rPr>
                <w:rFonts w:eastAsia="Times New Roman" w:cs="Arial"/>
                <w:sz w:val="20"/>
                <w:szCs w:val="20"/>
              </w:rPr>
            </w:pPr>
            <w:r w:rsidRPr="00C57E71">
              <w:rPr>
                <w:sz w:val="20"/>
                <w:szCs w:val="20"/>
              </w:rPr>
              <w:t>Multi-Payer ACO 30-day follow-up after discharge from ED for mental health [Claims]</w:t>
            </w:r>
          </w:p>
        </w:tc>
        <w:tc>
          <w:tcPr>
            <w:tcW w:w="1590" w:type="dxa"/>
            <w:shd w:val="clear" w:color="auto" w:fill="auto"/>
            <w:tcMar>
              <w:top w:w="0" w:type="dxa"/>
              <w:left w:w="43" w:type="dxa"/>
              <w:bottom w:w="0" w:type="dxa"/>
              <w:right w:w="43" w:type="dxa"/>
            </w:tcMar>
            <w:vAlign w:val="center"/>
          </w:tcPr>
          <w:p w14:paraId="62297617" w14:textId="77777777" w:rsidR="00C13128" w:rsidRPr="00C57E71" w:rsidRDefault="00C13128" w:rsidP="00753933">
            <w:pPr>
              <w:spacing w:after="0" w:line="240" w:lineRule="auto"/>
              <w:jc w:val="center"/>
              <w:rPr>
                <w:sz w:val="20"/>
                <w:szCs w:val="20"/>
              </w:rPr>
            </w:pPr>
            <w:r w:rsidRPr="00C57E71">
              <w:rPr>
                <w:sz w:val="20"/>
                <w:szCs w:val="20"/>
              </w:rPr>
              <w:t xml:space="preserve">56.2% </w:t>
            </w:r>
          </w:p>
          <w:p w14:paraId="6BA44E15"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(2014)</w:t>
            </w:r>
          </w:p>
        </w:tc>
        <w:tc>
          <w:tcPr>
            <w:tcW w:w="1080" w:type="dxa"/>
            <w:shd w:val="clear" w:color="auto" w:fill="auto"/>
            <w:tcMar>
              <w:top w:w="0" w:type="dxa"/>
              <w:left w:w="43" w:type="dxa"/>
              <w:bottom w:w="0" w:type="dxa"/>
              <w:right w:w="43" w:type="dxa"/>
            </w:tcMar>
            <w:vAlign w:val="center"/>
          </w:tcPr>
          <w:p w14:paraId="195473E4"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TBD</w:t>
            </w:r>
            <w:r w:rsidRPr="00C57E71">
              <w:rPr>
                <w:sz w:val="20"/>
                <w:szCs w:val="20"/>
                <w:vertAlign w:val="superscript"/>
              </w:rPr>
              <w:t>4</w:t>
            </w:r>
          </w:p>
        </w:tc>
        <w:tc>
          <w:tcPr>
            <w:tcW w:w="2602" w:type="dxa"/>
            <w:shd w:val="clear" w:color="auto" w:fill="auto"/>
            <w:tcMar>
              <w:top w:w="0" w:type="dxa"/>
              <w:left w:w="43" w:type="dxa"/>
              <w:bottom w:w="0" w:type="dxa"/>
              <w:right w:w="43" w:type="dxa"/>
            </w:tcMar>
            <w:vAlign w:val="center"/>
          </w:tcPr>
          <w:p w14:paraId="57EEB9D5"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60%</w:t>
            </w:r>
          </w:p>
        </w:tc>
      </w:tr>
      <w:tr w:rsidR="00C13128" w:rsidRPr="00C57E71" w14:paraId="29817533" w14:textId="77777777" w:rsidTr="00753933">
        <w:trPr>
          <w:trHeight w:val="288"/>
        </w:trPr>
        <w:tc>
          <w:tcPr>
            <w:tcW w:w="5512" w:type="dxa"/>
            <w:shd w:val="clear" w:color="auto" w:fill="auto"/>
            <w:tcMar>
              <w:top w:w="0" w:type="dxa"/>
              <w:left w:w="43" w:type="dxa"/>
              <w:bottom w:w="0" w:type="dxa"/>
              <w:right w:w="43" w:type="dxa"/>
            </w:tcMar>
          </w:tcPr>
          <w:p w14:paraId="72CE4328" w14:textId="77777777" w:rsidR="00C13128" w:rsidRPr="00C57E71" w:rsidRDefault="00C13128" w:rsidP="00753933">
            <w:pPr>
              <w:spacing w:after="0" w:line="240" w:lineRule="auto"/>
              <w:rPr>
                <w:rFonts w:eastAsia="Times New Roman" w:cs="Arial"/>
                <w:sz w:val="20"/>
                <w:szCs w:val="20"/>
              </w:rPr>
            </w:pPr>
            <w:r w:rsidRPr="00C57E71">
              <w:rPr>
                <w:sz w:val="20"/>
                <w:szCs w:val="20"/>
              </w:rPr>
              <w:t>Multi-Payer ACO 30-day follow-up after discharge from ED for alcohol or other drug dependence [Claims]</w:t>
            </w:r>
          </w:p>
        </w:tc>
        <w:tc>
          <w:tcPr>
            <w:tcW w:w="1590" w:type="dxa"/>
            <w:shd w:val="clear" w:color="auto" w:fill="auto"/>
            <w:tcMar>
              <w:top w:w="0" w:type="dxa"/>
              <w:left w:w="43" w:type="dxa"/>
              <w:bottom w:w="0" w:type="dxa"/>
              <w:right w:w="43" w:type="dxa"/>
            </w:tcMar>
            <w:vAlign w:val="center"/>
          </w:tcPr>
          <w:p w14:paraId="6DF33DC1" w14:textId="77777777" w:rsidR="00C13128" w:rsidRPr="00C57E71" w:rsidRDefault="00C13128" w:rsidP="00753933">
            <w:pPr>
              <w:spacing w:after="0" w:line="240" w:lineRule="auto"/>
              <w:jc w:val="center"/>
              <w:rPr>
                <w:sz w:val="20"/>
                <w:szCs w:val="20"/>
              </w:rPr>
            </w:pPr>
            <w:r w:rsidRPr="00C57E71">
              <w:rPr>
                <w:sz w:val="20"/>
                <w:szCs w:val="20"/>
              </w:rPr>
              <w:t xml:space="preserve">35.9% </w:t>
            </w:r>
          </w:p>
          <w:p w14:paraId="2795086E"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(2014)</w:t>
            </w:r>
          </w:p>
        </w:tc>
        <w:tc>
          <w:tcPr>
            <w:tcW w:w="1080" w:type="dxa"/>
            <w:shd w:val="clear" w:color="auto" w:fill="auto"/>
            <w:tcMar>
              <w:top w:w="0" w:type="dxa"/>
              <w:left w:w="43" w:type="dxa"/>
              <w:bottom w:w="0" w:type="dxa"/>
              <w:right w:w="43" w:type="dxa"/>
            </w:tcMar>
            <w:vAlign w:val="center"/>
          </w:tcPr>
          <w:p w14:paraId="1B712C6B"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TBD</w:t>
            </w:r>
            <w:r w:rsidRPr="00C57E71">
              <w:rPr>
                <w:sz w:val="20"/>
                <w:szCs w:val="20"/>
                <w:vertAlign w:val="superscript"/>
              </w:rPr>
              <w:t>4</w:t>
            </w:r>
          </w:p>
        </w:tc>
        <w:tc>
          <w:tcPr>
            <w:tcW w:w="2602" w:type="dxa"/>
            <w:shd w:val="clear" w:color="auto" w:fill="auto"/>
            <w:tcMar>
              <w:top w:w="0" w:type="dxa"/>
              <w:left w:w="43" w:type="dxa"/>
              <w:bottom w:w="0" w:type="dxa"/>
              <w:right w:w="43" w:type="dxa"/>
            </w:tcMar>
            <w:vAlign w:val="center"/>
          </w:tcPr>
          <w:p w14:paraId="5FC1D125"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40%</w:t>
            </w:r>
          </w:p>
        </w:tc>
      </w:tr>
      <w:tr w:rsidR="00C13128" w:rsidRPr="00C57E71" w14:paraId="7F118BE1" w14:textId="77777777" w:rsidTr="00753933">
        <w:trPr>
          <w:trHeight w:val="288"/>
        </w:trPr>
        <w:tc>
          <w:tcPr>
            <w:tcW w:w="5512" w:type="dxa"/>
            <w:shd w:val="clear" w:color="auto" w:fill="auto"/>
            <w:tcMar>
              <w:top w:w="0" w:type="dxa"/>
              <w:left w:w="43" w:type="dxa"/>
              <w:bottom w:w="0" w:type="dxa"/>
              <w:right w:w="43" w:type="dxa"/>
            </w:tcMar>
          </w:tcPr>
          <w:p w14:paraId="6679E98F" w14:textId="77777777" w:rsidR="00C13128" w:rsidRPr="00C57E71" w:rsidRDefault="00C13128" w:rsidP="00753933">
            <w:pPr>
              <w:spacing w:after="0" w:line="240" w:lineRule="auto"/>
              <w:rPr>
                <w:rFonts w:eastAsia="Times New Roman" w:cs="Arial"/>
                <w:sz w:val="20"/>
                <w:szCs w:val="20"/>
              </w:rPr>
            </w:pPr>
            <w:r w:rsidRPr="00C57E71">
              <w:rPr>
                <w:sz w:val="20"/>
                <w:szCs w:val="20"/>
              </w:rPr>
              <w:t>Number of mental health and substance abuse-related ED visits [VHUDDS]</w:t>
            </w:r>
          </w:p>
        </w:tc>
        <w:tc>
          <w:tcPr>
            <w:tcW w:w="1590" w:type="dxa"/>
            <w:shd w:val="clear" w:color="auto" w:fill="auto"/>
            <w:tcMar>
              <w:top w:w="0" w:type="dxa"/>
              <w:left w:w="43" w:type="dxa"/>
              <w:bottom w:w="0" w:type="dxa"/>
              <w:right w:w="43" w:type="dxa"/>
            </w:tcMar>
            <w:vAlign w:val="center"/>
          </w:tcPr>
          <w:p w14:paraId="6E021074" w14:textId="77777777" w:rsidR="00C13128" w:rsidRPr="00C57E71" w:rsidRDefault="00C13128" w:rsidP="00753933">
            <w:pPr>
              <w:spacing w:after="0" w:line="240" w:lineRule="auto"/>
              <w:jc w:val="center"/>
              <w:rPr>
                <w:sz w:val="20"/>
                <w:szCs w:val="20"/>
              </w:rPr>
            </w:pPr>
            <w:r w:rsidRPr="00C57E71">
              <w:rPr>
                <w:sz w:val="20"/>
                <w:szCs w:val="20"/>
              </w:rPr>
              <w:t xml:space="preserve">6% </w:t>
            </w:r>
          </w:p>
          <w:p w14:paraId="603E157E"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(2014-15)</w:t>
            </w:r>
          </w:p>
        </w:tc>
        <w:tc>
          <w:tcPr>
            <w:tcW w:w="1080" w:type="dxa"/>
            <w:shd w:val="clear" w:color="auto" w:fill="auto"/>
            <w:tcMar>
              <w:top w:w="0" w:type="dxa"/>
              <w:left w:w="43" w:type="dxa"/>
              <w:bottom w:w="0" w:type="dxa"/>
              <w:right w:w="43" w:type="dxa"/>
            </w:tcMar>
            <w:vAlign w:val="center"/>
          </w:tcPr>
          <w:p w14:paraId="48CB7D95" w14:textId="77777777" w:rsidR="00C13128" w:rsidRPr="00C57E71" w:rsidRDefault="00C13128" w:rsidP="00753933">
            <w:pPr>
              <w:spacing w:after="0" w:line="240" w:lineRule="auto"/>
              <w:jc w:val="center"/>
              <w:rPr>
                <w:sz w:val="20"/>
                <w:szCs w:val="20"/>
              </w:rPr>
            </w:pPr>
            <w:r w:rsidRPr="00C57E71">
              <w:rPr>
                <w:sz w:val="20"/>
                <w:szCs w:val="20"/>
              </w:rPr>
              <w:t>5%</w:t>
            </w:r>
            <w:r>
              <w:rPr>
                <w:sz w:val="20"/>
                <w:szCs w:val="20"/>
                <w:vertAlign w:val="superscript"/>
              </w:rPr>
              <w:t>5</w:t>
            </w:r>
            <w:r w:rsidRPr="00C57E71">
              <w:rPr>
                <w:sz w:val="20"/>
                <w:szCs w:val="20"/>
              </w:rPr>
              <w:t xml:space="preserve"> </w:t>
            </w:r>
          </w:p>
          <w:p w14:paraId="419D8BCE"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(2016-17)</w:t>
            </w:r>
          </w:p>
        </w:tc>
        <w:tc>
          <w:tcPr>
            <w:tcW w:w="2602" w:type="dxa"/>
            <w:shd w:val="clear" w:color="auto" w:fill="auto"/>
            <w:tcMar>
              <w:top w:w="0" w:type="dxa"/>
              <w:left w:w="43" w:type="dxa"/>
              <w:bottom w:w="0" w:type="dxa"/>
              <w:right w:w="43" w:type="dxa"/>
            </w:tcMar>
            <w:vAlign w:val="center"/>
          </w:tcPr>
          <w:p w14:paraId="54092D0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3%</w:t>
            </w:r>
          </w:p>
        </w:tc>
      </w:tr>
      <w:tr w:rsidR="00C13128" w:rsidRPr="00C57E71" w14:paraId="064F0DE4" w14:textId="77777777" w:rsidTr="00753933">
        <w:trPr>
          <w:trHeight w:val="288"/>
        </w:trPr>
        <w:tc>
          <w:tcPr>
            <w:tcW w:w="5512" w:type="dxa"/>
            <w:shd w:val="clear" w:color="auto" w:fill="auto"/>
            <w:tcMar>
              <w:top w:w="0" w:type="dxa"/>
              <w:left w:w="43" w:type="dxa"/>
              <w:bottom w:w="0" w:type="dxa"/>
              <w:right w:w="43" w:type="dxa"/>
            </w:tcMar>
          </w:tcPr>
          <w:p w14:paraId="5F30403B" w14:textId="77777777" w:rsidR="00C13128" w:rsidRPr="00C57E71" w:rsidRDefault="00C13128" w:rsidP="00753933">
            <w:pPr>
              <w:spacing w:after="0" w:line="240" w:lineRule="auto"/>
              <w:rPr>
                <w:rFonts w:eastAsia="Times New Roman" w:cs="Arial"/>
                <w:sz w:val="20"/>
                <w:szCs w:val="20"/>
              </w:rPr>
            </w:pPr>
            <w:r w:rsidRPr="00C57E71">
              <w:rPr>
                <w:sz w:val="20"/>
                <w:szCs w:val="20"/>
              </w:rPr>
              <w:t>Number of Vermont Prescription Monitoring System queries by prescribers who have written at least one opioid analgesic prescription divided by the number of unique recipients who have received at least one opioid analgesic prescription [ADAP]</w:t>
            </w:r>
          </w:p>
        </w:tc>
        <w:tc>
          <w:tcPr>
            <w:tcW w:w="1590" w:type="dxa"/>
            <w:shd w:val="clear" w:color="auto" w:fill="auto"/>
            <w:tcMar>
              <w:top w:w="0" w:type="dxa"/>
              <w:left w:w="43" w:type="dxa"/>
              <w:bottom w:w="0" w:type="dxa"/>
              <w:right w:w="43" w:type="dxa"/>
            </w:tcMar>
            <w:vAlign w:val="center"/>
          </w:tcPr>
          <w:p w14:paraId="591CFD43" w14:textId="77777777" w:rsidR="00C13128" w:rsidRPr="00C57E71" w:rsidRDefault="00C13128" w:rsidP="00753933">
            <w:pPr>
              <w:spacing w:after="0" w:line="240" w:lineRule="auto"/>
              <w:jc w:val="center"/>
              <w:rPr>
                <w:sz w:val="20"/>
                <w:szCs w:val="20"/>
              </w:rPr>
            </w:pPr>
            <w:r w:rsidRPr="00C57E71">
              <w:rPr>
                <w:sz w:val="20"/>
                <w:szCs w:val="20"/>
              </w:rPr>
              <w:t>1.65</w:t>
            </w:r>
          </w:p>
          <w:p w14:paraId="482CC76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(2016)</w:t>
            </w:r>
          </w:p>
        </w:tc>
        <w:tc>
          <w:tcPr>
            <w:tcW w:w="1080" w:type="dxa"/>
            <w:shd w:val="clear" w:color="auto" w:fill="auto"/>
            <w:tcMar>
              <w:top w:w="0" w:type="dxa"/>
              <w:left w:w="43" w:type="dxa"/>
              <w:bottom w:w="0" w:type="dxa"/>
              <w:right w:w="43" w:type="dxa"/>
            </w:tcMar>
            <w:vAlign w:val="center"/>
          </w:tcPr>
          <w:p w14:paraId="78EAD956" w14:textId="77777777" w:rsidR="00C13128" w:rsidRPr="007120D0" w:rsidRDefault="00C13128" w:rsidP="00753933">
            <w:pPr>
              <w:spacing w:after="0" w:line="240" w:lineRule="auto"/>
              <w:jc w:val="center"/>
              <w:rPr>
                <w:rFonts w:eastAsia="Times New Roman" w:cs="Arial"/>
                <w:sz w:val="20"/>
                <w:szCs w:val="20"/>
                <w:vertAlign w:val="superscript"/>
              </w:rPr>
            </w:pPr>
            <w:r w:rsidRPr="00C57E71">
              <w:rPr>
                <w:sz w:val="20"/>
                <w:szCs w:val="20"/>
              </w:rPr>
              <w:t>TB</w:t>
            </w:r>
            <w:r>
              <w:rPr>
                <w:sz w:val="20"/>
                <w:szCs w:val="20"/>
              </w:rPr>
              <w:t>D</w:t>
            </w:r>
            <w:r>
              <w:rPr>
                <w:sz w:val="20"/>
                <w:szCs w:val="20"/>
                <w:vertAlign w:val="superscript"/>
              </w:rPr>
              <w:t>6</w:t>
            </w:r>
          </w:p>
        </w:tc>
        <w:tc>
          <w:tcPr>
            <w:tcW w:w="2602" w:type="dxa"/>
            <w:shd w:val="clear" w:color="auto" w:fill="auto"/>
            <w:tcMar>
              <w:top w:w="0" w:type="dxa"/>
              <w:left w:w="43" w:type="dxa"/>
              <w:bottom w:w="0" w:type="dxa"/>
              <w:right w:w="43" w:type="dxa"/>
            </w:tcMar>
            <w:vAlign w:val="center"/>
          </w:tcPr>
          <w:p w14:paraId="64A0C268"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1.80</w:t>
            </w:r>
          </w:p>
        </w:tc>
      </w:tr>
      <w:tr w:rsidR="00C13128" w:rsidRPr="00C57E71" w14:paraId="32637FEC" w14:textId="77777777" w:rsidTr="00753933">
        <w:trPr>
          <w:trHeight w:val="288"/>
        </w:trPr>
        <w:tc>
          <w:tcPr>
            <w:tcW w:w="5512" w:type="dxa"/>
            <w:shd w:val="clear" w:color="auto" w:fill="auto"/>
            <w:tcMar>
              <w:top w:w="0" w:type="dxa"/>
              <w:left w:w="43" w:type="dxa"/>
              <w:bottom w:w="0" w:type="dxa"/>
              <w:right w:w="43" w:type="dxa"/>
            </w:tcMar>
          </w:tcPr>
          <w:p w14:paraId="21D48BD8" w14:textId="77777777" w:rsidR="00C13128" w:rsidRPr="00C57E71" w:rsidRDefault="00C13128" w:rsidP="00753933">
            <w:pPr>
              <w:spacing w:after="0" w:line="240" w:lineRule="auto"/>
              <w:rPr>
                <w:rFonts w:eastAsia="Times New Roman" w:cs="Arial"/>
                <w:sz w:val="20"/>
                <w:szCs w:val="20"/>
              </w:rPr>
            </w:pPr>
            <w:r w:rsidRPr="00C57E71">
              <w:rPr>
                <w:sz w:val="20"/>
                <w:szCs w:val="20"/>
              </w:rPr>
              <w:t>Multi-Payer ACO screening for clinical depression and follow-up plan [Clinical]</w:t>
            </w:r>
          </w:p>
        </w:tc>
        <w:tc>
          <w:tcPr>
            <w:tcW w:w="1590" w:type="dxa"/>
            <w:shd w:val="clear" w:color="auto" w:fill="auto"/>
            <w:tcMar>
              <w:top w:w="0" w:type="dxa"/>
              <w:left w:w="43" w:type="dxa"/>
              <w:bottom w:w="0" w:type="dxa"/>
              <w:right w:w="43" w:type="dxa"/>
            </w:tcMar>
            <w:vAlign w:val="center"/>
          </w:tcPr>
          <w:p w14:paraId="720590CB"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60-70</w:t>
            </w:r>
            <w:r w:rsidRPr="00C57E71">
              <w:rPr>
                <w:sz w:val="20"/>
                <w:szCs w:val="20"/>
                <w:vertAlign w:val="superscript"/>
              </w:rPr>
              <w:t>th</w:t>
            </w:r>
            <w:r w:rsidRPr="00C57E71">
              <w:rPr>
                <w:sz w:val="20"/>
                <w:szCs w:val="20"/>
              </w:rPr>
              <w:t xml:space="preserve"> percentile</w:t>
            </w:r>
          </w:p>
        </w:tc>
        <w:tc>
          <w:tcPr>
            <w:tcW w:w="1080" w:type="dxa"/>
            <w:shd w:val="clear" w:color="auto" w:fill="auto"/>
            <w:tcMar>
              <w:top w:w="0" w:type="dxa"/>
              <w:left w:w="43" w:type="dxa"/>
              <w:bottom w:w="0" w:type="dxa"/>
              <w:right w:w="43" w:type="dxa"/>
            </w:tcMar>
            <w:vAlign w:val="center"/>
          </w:tcPr>
          <w:p w14:paraId="5A90A5D8"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TBD</w:t>
            </w:r>
            <w:r w:rsidRPr="00C57E71">
              <w:rPr>
                <w:sz w:val="20"/>
                <w:szCs w:val="20"/>
                <w:vertAlign w:val="superscript"/>
              </w:rPr>
              <w:t>4</w:t>
            </w:r>
          </w:p>
        </w:tc>
        <w:tc>
          <w:tcPr>
            <w:tcW w:w="2602" w:type="dxa"/>
            <w:shd w:val="clear" w:color="auto" w:fill="auto"/>
            <w:tcMar>
              <w:top w:w="0" w:type="dxa"/>
              <w:left w:w="43" w:type="dxa"/>
              <w:bottom w:w="0" w:type="dxa"/>
              <w:right w:w="43" w:type="dxa"/>
            </w:tcMar>
            <w:vAlign w:val="center"/>
          </w:tcPr>
          <w:p w14:paraId="7A37311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75</w:t>
            </w:r>
            <w:r w:rsidRPr="00C57E71">
              <w:rPr>
                <w:sz w:val="20"/>
                <w:szCs w:val="20"/>
                <w:vertAlign w:val="superscript"/>
              </w:rPr>
              <w:t>th</w:t>
            </w:r>
            <w:r w:rsidRPr="00C57E71">
              <w:rPr>
                <w:sz w:val="20"/>
                <w:szCs w:val="20"/>
              </w:rPr>
              <w:t xml:space="preserve"> percentile compared to Medicare nationally</w:t>
            </w:r>
          </w:p>
        </w:tc>
      </w:tr>
      <w:tr w:rsidR="00C13128" w:rsidRPr="00C57E71" w14:paraId="1EF44265" w14:textId="77777777" w:rsidTr="00753933">
        <w:trPr>
          <w:trHeight w:val="288"/>
        </w:trPr>
        <w:tc>
          <w:tcPr>
            <w:tcW w:w="5512" w:type="dxa"/>
            <w:shd w:val="clear" w:color="auto" w:fill="auto"/>
            <w:tcMar>
              <w:top w:w="0" w:type="dxa"/>
              <w:left w:w="43" w:type="dxa"/>
              <w:bottom w:w="0" w:type="dxa"/>
              <w:right w:w="43" w:type="dxa"/>
            </w:tcMar>
          </w:tcPr>
          <w:p w14:paraId="2E2F53AE" w14:textId="77777777" w:rsidR="00C13128" w:rsidRPr="00C57E71" w:rsidRDefault="00C13128" w:rsidP="00753933">
            <w:pPr>
              <w:spacing w:after="0" w:line="240" w:lineRule="auto"/>
              <w:rPr>
                <w:rFonts w:eastAsia="Times New Roman" w:cs="Arial"/>
                <w:sz w:val="20"/>
                <w:szCs w:val="20"/>
              </w:rPr>
            </w:pPr>
            <w:r w:rsidRPr="00C57E71">
              <w:rPr>
                <w:sz w:val="20"/>
                <w:szCs w:val="20"/>
              </w:rPr>
              <w:t>Number per 10,000 population ages 18-64 receiving Medication Assisted Treatment (MAT) [Hub and Spoke]</w:t>
            </w:r>
          </w:p>
        </w:tc>
        <w:tc>
          <w:tcPr>
            <w:tcW w:w="1590" w:type="dxa"/>
            <w:shd w:val="clear" w:color="auto" w:fill="auto"/>
            <w:tcMar>
              <w:top w:w="0" w:type="dxa"/>
              <w:left w:w="43" w:type="dxa"/>
              <w:bottom w:w="0" w:type="dxa"/>
              <w:right w:w="43" w:type="dxa"/>
            </w:tcMar>
            <w:vAlign w:val="center"/>
          </w:tcPr>
          <w:p w14:paraId="68AA16F8" w14:textId="77777777" w:rsidR="00C13128" w:rsidRPr="00C57E71" w:rsidRDefault="00C13128" w:rsidP="00753933">
            <w:pPr>
              <w:spacing w:after="0" w:line="240" w:lineRule="auto"/>
              <w:jc w:val="center"/>
              <w:rPr>
                <w:sz w:val="20"/>
                <w:szCs w:val="20"/>
              </w:rPr>
            </w:pPr>
            <w:r w:rsidRPr="00C57E71">
              <w:rPr>
                <w:sz w:val="20"/>
                <w:szCs w:val="20"/>
              </w:rPr>
              <w:t xml:space="preserve">123 </w:t>
            </w:r>
          </w:p>
          <w:p w14:paraId="6040235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(2015)</w:t>
            </w:r>
          </w:p>
        </w:tc>
        <w:tc>
          <w:tcPr>
            <w:tcW w:w="1080" w:type="dxa"/>
            <w:shd w:val="clear" w:color="auto" w:fill="auto"/>
            <w:tcMar>
              <w:top w:w="0" w:type="dxa"/>
              <w:left w:w="43" w:type="dxa"/>
              <w:bottom w:w="0" w:type="dxa"/>
              <w:right w:w="43" w:type="dxa"/>
            </w:tcMar>
            <w:vAlign w:val="center"/>
          </w:tcPr>
          <w:p w14:paraId="179905D2" w14:textId="77777777" w:rsidR="00C13128" w:rsidRPr="007120D0" w:rsidRDefault="00C13128" w:rsidP="00753933">
            <w:pPr>
              <w:spacing w:after="0" w:line="240" w:lineRule="auto"/>
              <w:jc w:val="center"/>
              <w:rPr>
                <w:sz w:val="20"/>
                <w:szCs w:val="20"/>
              </w:rPr>
            </w:pPr>
            <w:r w:rsidRPr="007120D0">
              <w:rPr>
                <w:sz w:val="20"/>
                <w:szCs w:val="20"/>
              </w:rPr>
              <w:t>155</w:t>
            </w:r>
            <w:r w:rsidRPr="007120D0">
              <w:rPr>
                <w:sz w:val="20"/>
                <w:szCs w:val="20"/>
                <w:vertAlign w:val="superscript"/>
              </w:rPr>
              <w:t>7</w:t>
            </w:r>
            <w:r w:rsidRPr="007120D0">
              <w:rPr>
                <w:sz w:val="20"/>
                <w:szCs w:val="20"/>
              </w:rPr>
              <w:t xml:space="preserve"> </w:t>
            </w:r>
          </w:p>
          <w:p w14:paraId="6480FFC3"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(2016)</w:t>
            </w:r>
          </w:p>
        </w:tc>
        <w:tc>
          <w:tcPr>
            <w:tcW w:w="2602" w:type="dxa"/>
            <w:shd w:val="clear" w:color="auto" w:fill="auto"/>
            <w:tcMar>
              <w:top w:w="0" w:type="dxa"/>
              <w:left w:w="43" w:type="dxa"/>
              <w:bottom w:w="0" w:type="dxa"/>
              <w:right w:w="43" w:type="dxa"/>
            </w:tcMar>
            <w:vAlign w:val="center"/>
          </w:tcPr>
          <w:p w14:paraId="43E0B7B4"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 xml:space="preserve">150 </w:t>
            </w:r>
            <w:r w:rsidRPr="00C57E71">
              <w:rPr>
                <w:sz w:val="20"/>
                <w:szCs w:val="20"/>
                <w:u w:val="single"/>
              </w:rPr>
              <w:t>or</w:t>
            </w:r>
            <w:r w:rsidRPr="00C57E71">
              <w:rPr>
                <w:sz w:val="20"/>
                <w:szCs w:val="20"/>
              </w:rPr>
              <w:t xml:space="preserve"> up to rate of demand</w:t>
            </w:r>
          </w:p>
        </w:tc>
      </w:tr>
      <w:tr w:rsidR="00C13128" w:rsidRPr="00C57E71" w14:paraId="0B8AB3CE" w14:textId="77777777" w:rsidTr="00753933">
        <w:trPr>
          <w:trHeight w:val="288"/>
        </w:trPr>
        <w:tc>
          <w:tcPr>
            <w:tcW w:w="5512" w:type="dxa"/>
            <w:shd w:val="clear" w:color="auto" w:fill="auto"/>
            <w:tcMar>
              <w:top w:w="0" w:type="dxa"/>
              <w:left w:w="43" w:type="dxa"/>
              <w:bottom w:w="0" w:type="dxa"/>
              <w:right w:w="43" w:type="dxa"/>
            </w:tcMar>
          </w:tcPr>
          <w:p w14:paraId="1BA3D38B" w14:textId="77777777" w:rsidR="00C13128" w:rsidRPr="00C57E71" w:rsidRDefault="00C13128" w:rsidP="00753933">
            <w:pPr>
              <w:spacing w:after="0" w:line="240" w:lineRule="auto"/>
              <w:rPr>
                <w:rFonts w:eastAsia="Times New Roman" w:cs="Arial"/>
                <w:sz w:val="20"/>
                <w:szCs w:val="20"/>
              </w:rPr>
            </w:pPr>
            <w:r w:rsidRPr="00C57E71">
              <w:rPr>
                <w:sz w:val="20"/>
                <w:szCs w:val="20"/>
              </w:rPr>
              <w:t>Statewide prevalence of chronic disease: chronic obstructive pulmonary disease (COPD) [BRFSS]</w:t>
            </w:r>
          </w:p>
        </w:tc>
        <w:tc>
          <w:tcPr>
            <w:tcW w:w="1590" w:type="dxa"/>
            <w:shd w:val="clear" w:color="auto" w:fill="auto"/>
            <w:tcMar>
              <w:top w:w="0" w:type="dxa"/>
              <w:left w:w="43" w:type="dxa"/>
              <w:bottom w:w="0" w:type="dxa"/>
              <w:right w:w="43" w:type="dxa"/>
            </w:tcMar>
            <w:vAlign w:val="center"/>
          </w:tcPr>
          <w:p w14:paraId="76F72D78" w14:textId="77777777" w:rsidR="00C13128" w:rsidRPr="00C57E71" w:rsidRDefault="00C13128" w:rsidP="00753933">
            <w:pPr>
              <w:spacing w:after="0" w:line="240" w:lineRule="auto"/>
              <w:jc w:val="center"/>
              <w:rPr>
                <w:sz w:val="20"/>
                <w:szCs w:val="20"/>
              </w:rPr>
            </w:pPr>
            <w:r w:rsidRPr="00C57E71">
              <w:rPr>
                <w:sz w:val="20"/>
                <w:szCs w:val="20"/>
              </w:rPr>
              <w:t xml:space="preserve">6% </w:t>
            </w:r>
          </w:p>
          <w:p w14:paraId="03985AB8"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(2015)</w:t>
            </w:r>
          </w:p>
        </w:tc>
        <w:tc>
          <w:tcPr>
            <w:tcW w:w="1080" w:type="dxa"/>
            <w:shd w:val="clear" w:color="auto" w:fill="auto"/>
            <w:tcMar>
              <w:top w:w="0" w:type="dxa"/>
              <w:left w:w="43" w:type="dxa"/>
              <w:bottom w:w="0" w:type="dxa"/>
              <w:right w:w="43" w:type="dxa"/>
            </w:tcMar>
            <w:vAlign w:val="center"/>
          </w:tcPr>
          <w:p w14:paraId="06DCFDB8" w14:textId="77777777" w:rsidR="00C13128" w:rsidRPr="00C57E71" w:rsidRDefault="00C13128" w:rsidP="00753933">
            <w:pPr>
              <w:spacing w:after="0" w:line="240" w:lineRule="auto"/>
              <w:jc w:val="center"/>
              <w:rPr>
                <w:sz w:val="20"/>
                <w:szCs w:val="20"/>
              </w:rPr>
            </w:pPr>
            <w:r w:rsidRPr="00C57E71">
              <w:rPr>
                <w:sz w:val="20"/>
                <w:szCs w:val="20"/>
              </w:rPr>
              <w:t xml:space="preserve">6% </w:t>
            </w:r>
          </w:p>
          <w:p w14:paraId="66FE2A26"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(2017)</w:t>
            </w:r>
          </w:p>
        </w:tc>
        <w:tc>
          <w:tcPr>
            <w:tcW w:w="2602" w:type="dxa"/>
            <w:shd w:val="clear" w:color="auto" w:fill="auto"/>
            <w:tcMar>
              <w:top w:w="0" w:type="dxa"/>
              <w:left w:w="43" w:type="dxa"/>
              <w:bottom w:w="0" w:type="dxa"/>
              <w:right w:w="43" w:type="dxa"/>
            </w:tcMar>
            <w:vAlign w:val="center"/>
          </w:tcPr>
          <w:p w14:paraId="3FA3D762"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Increase statewide prevalence by no more than 1% (7%)</w:t>
            </w:r>
          </w:p>
        </w:tc>
      </w:tr>
      <w:tr w:rsidR="00C13128" w:rsidRPr="00C57E71" w14:paraId="05686A1F" w14:textId="77777777" w:rsidTr="00753933">
        <w:trPr>
          <w:trHeight w:val="288"/>
        </w:trPr>
        <w:tc>
          <w:tcPr>
            <w:tcW w:w="5512" w:type="dxa"/>
            <w:shd w:val="clear" w:color="auto" w:fill="auto"/>
            <w:tcMar>
              <w:top w:w="0" w:type="dxa"/>
              <w:left w:w="43" w:type="dxa"/>
              <w:bottom w:w="0" w:type="dxa"/>
              <w:right w:w="43" w:type="dxa"/>
            </w:tcMar>
          </w:tcPr>
          <w:p w14:paraId="63209A36" w14:textId="77777777" w:rsidR="00C13128" w:rsidRPr="00C57E71" w:rsidRDefault="00C13128" w:rsidP="00753933">
            <w:pPr>
              <w:spacing w:after="0" w:line="240" w:lineRule="auto"/>
              <w:rPr>
                <w:rFonts w:eastAsia="Times New Roman" w:cs="Arial"/>
                <w:sz w:val="20"/>
                <w:szCs w:val="20"/>
              </w:rPr>
            </w:pPr>
            <w:r w:rsidRPr="00C57E71">
              <w:rPr>
                <w:sz w:val="20"/>
                <w:szCs w:val="20"/>
              </w:rPr>
              <w:t>Statewide prevalence of chronic disease: hypertension [BRFSS]</w:t>
            </w:r>
          </w:p>
        </w:tc>
        <w:tc>
          <w:tcPr>
            <w:tcW w:w="1590" w:type="dxa"/>
            <w:shd w:val="clear" w:color="auto" w:fill="auto"/>
            <w:tcMar>
              <w:top w:w="0" w:type="dxa"/>
              <w:left w:w="43" w:type="dxa"/>
              <w:bottom w:w="0" w:type="dxa"/>
              <w:right w:w="43" w:type="dxa"/>
            </w:tcMar>
            <w:vAlign w:val="center"/>
          </w:tcPr>
          <w:p w14:paraId="74C8E22E" w14:textId="77777777" w:rsidR="00C13128" w:rsidRPr="00C57E71" w:rsidRDefault="00C13128" w:rsidP="00753933">
            <w:pPr>
              <w:spacing w:after="0" w:line="240" w:lineRule="auto"/>
              <w:jc w:val="center"/>
              <w:rPr>
                <w:sz w:val="20"/>
                <w:szCs w:val="20"/>
              </w:rPr>
            </w:pPr>
            <w:r w:rsidRPr="00C57E71">
              <w:rPr>
                <w:sz w:val="20"/>
                <w:szCs w:val="20"/>
              </w:rPr>
              <w:t xml:space="preserve">27% </w:t>
            </w:r>
          </w:p>
          <w:p w14:paraId="5999F360"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(2014)</w:t>
            </w:r>
          </w:p>
        </w:tc>
        <w:tc>
          <w:tcPr>
            <w:tcW w:w="1080" w:type="dxa"/>
            <w:shd w:val="clear" w:color="auto" w:fill="auto"/>
            <w:tcMar>
              <w:top w:w="0" w:type="dxa"/>
              <w:left w:w="43" w:type="dxa"/>
              <w:bottom w:w="0" w:type="dxa"/>
              <w:right w:w="43" w:type="dxa"/>
            </w:tcMar>
            <w:vAlign w:val="center"/>
          </w:tcPr>
          <w:p w14:paraId="021A7CAD" w14:textId="77777777" w:rsidR="00C13128" w:rsidRPr="00C57E71" w:rsidRDefault="00C13128" w:rsidP="00753933">
            <w:pPr>
              <w:spacing w:after="0" w:line="240" w:lineRule="auto"/>
              <w:jc w:val="center"/>
              <w:rPr>
                <w:sz w:val="20"/>
                <w:szCs w:val="20"/>
              </w:rPr>
            </w:pPr>
            <w:r w:rsidRPr="00C57E71">
              <w:rPr>
                <w:sz w:val="20"/>
                <w:szCs w:val="20"/>
              </w:rPr>
              <w:t xml:space="preserve">26% </w:t>
            </w:r>
          </w:p>
          <w:p w14:paraId="4D2DA14F"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(2017)</w:t>
            </w:r>
          </w:p>
        </w:tc>
        <w:tc>
          <w:tcPr>
            <w:tcW w:w="2602" w:type="dxa"/>
            <w:shd w:val="clear" w:color="auto" w:fill="auto"/>
            <w:tcMar>
              <w:top w:w="0" w:type="dxa"/>
              <w:left w:w="43" w:type="dxa"/>
              <w:bottom w:w="0" w:type="dxa"/>
              <w:right w:w="43" w:type="dxa"/>
            </w:tcMar>
            <w:vAlign w:val="center"/>
          </w:tcPr>
          <w:p w14:paraId="6A9230D6"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Increase statewide prevalence by no more than 1% (28%)</w:t>
            </w:r>
          </w:p>
        </w:tc>
      </w:tr>
      <w:tr w:rsidR="00C13128" w:rsidRPr="00C57E71" w14:paraId="7E02C127" w14:textId="77777777" w:rsidTr="00753933">
        <w:trPr>
          <w:trHeight w:val="288"/>
        </w:trPr>
        <w:tc>
          <w:tcPr>
            <w:tcW w:w="5512" w:type="dxa"/>
            <w:shd w:val="clear" w:color="auto" w:fill="auto"/>
            <w:tcMar>
              <w:top w:w="0" w:type="dxa"/>
              <w:left w:w="43" w:type="dxa"/>
              <w:bottom w:w="0" w:type="dxa"/>
              <w:right w:w="43" w:type="dxa"/>
            </w:tcMar>
          </w:tcPr>
          <w:p w14:paraId="11BBDBB7" w14:textId="77777777" w:rsidR="00C13128" w:rsidRPr="00C57E71" w:rsidRDefault="00C13128" w:rsidP="00753933">
            <w:pPr>
              <w:spacing w:after="0" w:line="240" w:lineRule="auto"/>
              <w:rPr>
                <w:rFonts w:eastAsia="Times New Roman" w:cs="Arial"/>
                <w:sz w:val="20"/>
                <w:szCs w:val="20"/>
              </w:rPr>
            </w:pPr>
            <w:r w:rsidRPr="00C57E71">
              <w:rPr>
                <w:sz w:val="20"/>
                <w:szCs w:val="20"/>
              </w:rPr>
              <w:t>Statewide prevalence of chronic disease: diabetes [BRFSS]</w:t>
            </w:r>
          </w:p>
        </w:tc>
        <w:tc>
          <w:tcPr>
            <w:tcW w:w="1590" w:type="dxa"/>
            <w:shd w:val="clear" w:color="auto" w:fill="auto"/>
            <w:tcMar>
              <w:top w:w="0" w:type="dxa"/>
              <w:left w:w="43" w:type="dxa"/>
              <w:bottom w:w="0" w:type="dxa"/>
              <w:right w:w="43" w:type="dxa"/>
            </w:tcMar>
            <w:vAlign w:val="center"/>
          </w:tcPr>
          <w:p w14:paraId="6EE8B4A6" w14:textId="77777777" w:rsidR="00C13128" w:rsidRPr="00C57E71" w:rsidRDefault="00C13128" w:rsidP="00753933">
            <w:pPr>
              <w:spacing w:after="0" w:line="240" w:lineRule="auto"/>
              <w:jc w:val="center"/>
              <w:rPr>
                <w:sz w:val="20"/>
                <w:szCs w:val="20"/>
              </w:rPr>
            </w:pPr>
            <w:r w:rsidRPr="00C57E71">
              <w:rPr>
                <w:sz w:val="20"/>
                <w:szCs w:val="20"/>
              </w:rPr>
              <w:t xml:space="preserve">8% </w:t>
            </w:r>
          </w:p>
          <w:p w14:paraId="706734D8"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(2015)</w:t>
            </w:r>
          </w:p>
        </w:tc>
        <w:tc>
          <w:tcPr>
            <w:tcW w:w="1080" w:type="dxa"/>
            <w:shd w:val="clear" w:color="auto" w:fill="auto"/>
            <w:tcMar>
              <w:top w:w="0" w:type="dxa"/>
              <w:left w:w="43" w:type="dxa"/>
              <w:bottom w:w="0" w:type="dxa"/>
              <w:right w:w="43" w:type="dxa"/>
            </w:tcMar>
            <w:vAlign w:val="center"/>
          </w:tcPr>
          <w:p w14:paraId="42633C14" w14:textId="77777777" w:rsidR="00C13128" w:rsidRPr="00C57E71" w:rsidRDefault="00C13128" w:rsidP="00753933">
            <w:pPr>
              <w:spacing w:after="0" w:line="240" w:lineRule="auto"/>
              <w:jc w:val="center"/>
              <w:rPr>
                <w:sz w:val="20"/>
                <w:szCs w:val="20"/>
              </w:rPr>
            </w:pPr>
            <w:r w:rsidRPr="00C57E71">
              <w:rPr>
                <w:sz w:val="20"/>
                <w:szCs w:val="20"/>
              </w:rPr>
              <w:t xml:space="preserve">8% </w:t>
            </w:r>
          </w:p>
          <w:p w14:paraId="74049D9C"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(2017)</w:t>
            </w:r>
          </w:p>
        </w:tc>
        <w:tc>
          <w:tcPr>
            <w:tcW w:w="2602" w:type="dxa"/>
            <w:shd w:val="clear" w:color="auto" w:fill="auto"/>
            <w:tcMar>
              <w:top w:w="0" w:type="dxa"/>
              <w:left w:w="43" w:type="dxa"/>
              <w:bottom w:w="0" w:type="dxa"/>
              <w:right w:w="43" w:type="dxa"/>
            </w:tcMar>
            <w:vAlign w:val="center"/>
          </w:tcPr>
          <w:p w14:paraId="701F5B6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Increase statewide prevalence by no more than 1% (9%)</w:t>
            </w:r>
          </w:p>
        </w:tc>
      </w:tr>
      <w:tr w:rsidR="00C13128" w:rsidRPr="00C57E71" w14:paraId="3C921927" w14:textId="77777777" w:rsidTr="00753933">
        <w:trPr>
          <w:trHeight w:val="348"/>
        </w:trPr>
        <w:tc>
          <w:tcPr>
            <w:tcW w:w="5512" w:type="dxa"/>
            <w:shd w:val="clear" w:color="auto" w:fill="auto"/>
            <w:tcMar>
              <w:top w:w="0" w:type="dxa"/>
              <w:left w:w="43" w:type="dxa"/>
              <w:bottom w:w="0" w:type="dxa"/>
              <w:right w:w="43" w:type="dxa"/>
            </w:tcMar>
          </w:tcPr>
          <w:p w14:paraId="4AB8F8AB" w14:textId="77777777" w:rsidR="00C13128" w:rsidRPr="00C57E71" w:rsidRDefault="00C13128" w:rsidP="00753933">
            <w:pPr>
              <w:spacing w:after="0" w:line="240" w:lineRule="auto"/>
              <w:ind w:right="60"/>
              <w:rPr>
                <w:rFonts w:eastAsia="Times New Roman" w:cs="Arial"/>
                <w:sz w:val="20"/>
                <w:szCs w:val="20"/>
              </w:rPr>
            </w:pPr>
            <w:r w:rsidRPr="00C57E71">
              <w:rPr>
                <w:sz w:val="20"/>
                <w:szCs w:val="20"/>
              </w:rPr>
              <w:t>Medicare ACO chronic disease composite: Diabetes HbA1c poor control; Controlling high blood pressure; and All-cause unplanned admissions for patients with multiple chronic conditions [Claims &amp; Clinical]</w:t>
            </w:r>
          </w:p>
        </w:tc>
        <w:tc>
          <w:tcPr>
            <w:tcW w:w="1590" w:type="dxa"/>
            <w:shd w:val="clear" w:color="auto" w:fill="auto"/>
            <w:tcMar>
              <w:top w:w="0" w:type="dxa"/>
              <w:left w:w="43" w:type="dxa"/>
              <w:bottom w:w="0" w:type="dxa"/>
              <w:right w:w="43" w:type="dxa"/>
            </w:tcMar>
            <w:vAlign w:val="center"/>
          </w:tcPr>
          <w:p w14:paraId="35288992" w14:textId="77777777" w:rsidR="00C13128" w:rsidRPr="00C57E71" w:rsidRDefault="00C13128" w:rsidP="00753933">
            <w:pPr>
              <w:spacing w:after="0" w:line="240" w:lineRule="auto"/>
              <w:jc w:val="center"/>
              <w:rPr>
                <w:sz w:val="20"/>
                <w:szCs w:val="20"/>
              </w:rPr>
            </w:pPr>
            <w:r w:rsidRPr="00C57E71">
              <w:rPr>
                <w:sz w:val="20"/>
                <w:szCs w:val="20"/>
              </w:rPr>
              <w:t>62</w:t>
            </w:r>
            <w:r w:rsidRPr="00C57E71">
              <w:rPr>
                <w:sz w:val="20"/>
                <w:szCs w:val="20"/>
                <w:vertAlign w:val="superscript"/>
              </w:rPr>
              <w:t>nd</w:t>
            </w:r>
            <w:r w:rsidRPr="00C57E71">
              <w:rPr>
                <w:sz w:val="20"/>
                <w:szCs w:val="20"/>
              </w:rPr>
              <w:t xml:space="preserve"> percentile</w:t>
            </w:r>
          </w:p>
          <w:p w14:paraId="6F326A85" w14:textId="77777777" w:rsidR="00C13128" w:rsidRPr="00C57E71" w:rsidRDefault="00C13128" w:rsidP="00753933">
            <w:pPr>
              <w:spacing w:after="0" w:line="240" w:lineRule="auto"/>
              <w:ind w:right="120"/>
              <w:jc w:val="center"/>
              <w:rPr>
                <w:rFonts w:eastAsia="Times New Roman" w:cs="Arial"/>
                <w:sz w:val="20"/>
                <w:szCs w:val="20"/>
              </w:rPr>
            </w:pPr>
            <w:r w:rsidRPr="00C57E71">
              <w:rPr>
                <w:sz w:val="20"/>
                <w:szCs w:val="20"/>
              </w:rPr>
              <w:t>(2016)</w:t>
            </w:r>
          </w:p>
        </w:tc>
        <w:tc>
          <w:tcPr>
            <w:tcW w:w="1080" w:type="dxa"/>
            <w:shd w:val="clear" w:color="auto" w:fill="auto"/>
            <w:tcMar>
              <w:top w:w="0" w:type="dxa"/>
              <w:left w:w="43" w:type="dxa"/>
              <w:bottom w:w="0" w:type="dxa"/>
              <w:right w:w="43" w:type="dxa"/>
            </w:tcMar>
            <w:vAlign w:val="center"/>
          </w:tcPr>
          <w:p w14:paraId="7C2D7144"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TBD</w:t>
            </w:r>
            <w:r w:rsidRPr="00C57E71">
              <w:rPr>
                <w:sz w:val="20"/>
                <w:szCs w:val="20"/>
                <w:vertAlign w:val="superscript"/>
              </w:rPr>
              <w:t>1</w:t>
            </w:r>
          </w:p>
        </w:tc>
        <w:tc>
          <w:tcPr>
            <w:tcW w:w="2602" w:type="dxa"/>
            <w:shd w:val="clear" w:color="auto" w:fill="auto"/>
            <w:tcMar>
              <w:top w:w="0" w:type="dxa"/>
              <w:left w:w="43" w:type="dxa"/>
              <w:bottom w:w="0" w:type="dxa"/>
              <w:right w:w="43" w:type="dxa"/>
            </w:tcMar>
            <w:vAlign w:val="center"/>
          </w:tcPr>
          <w:p w14:paraId="765F2EC4"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75</w:t>
            </w:r>
            <w:r w:rsidRPr="00C57E71">
              <w:rPr>
                <w:sz w:val="20"/>
                <w:szCs w:val="20"/>
                <w:vertAlign w:val="superscript"/>
              </w:rPr>
              <w:t>th</w:t>
            </w:r>
            <w:r w:rsidRPr="00C57E71">
              <w:rPr>
                <w:sz w:val="20"/>
                <w:szCs w:val="20"/>
              </w:rPr>
              <w:t xml:space="preserve"> percentile compared to Medicare nationally</w:t>
            </w:r>
          </w:p>
        </w:tc>
      </w:tr>
      <w:tr w:rsidR="00C13128" w:rsidRPr="00C57E71" w14:paraId="18F76A09" w14:textId="77777777" w:rsidTr="00753933">
        <w:trPr>
          <w:trHeight w:val="288"/>
        </w:trPr>
        <w:tc>
          <w:tcPr>
            <w:tcW w:w="5512" w:type="dxa"/>
            <w:shd w:val="clear" w:color="auto" w:fill="auto"/>
            <w:tcMar>
              <w:top w:w="0" w:type="dxa"/>
              <w:left w:w="43" w:type="dxa"/>
              <w:bottom w:w="0" w:type="dxa"/>
              <w:right w:w="43" w:type="dxa"/>
            </w:tcMar>
          </w:tcPr>
          <w:p w14:paraId="4BDBC210" w14:textId="77777777" w:rsidR="00C13128" w:rsidRPr="00C57E71" w:rsidRDefault="00C13128" w:rsidP="00753933">
            <w:pPr>
              <w:spacing w:after="0" w:line="240" w:lineRule="auto"/>
              <w:rPr>
                <w:rFonts w:eastAsia="Times New Roman" w:cs="Arial"/>
                <w:sz w:val="20"/>
                <w:szCs w:val="20"/>
              </w:rPr>
            </w:pPr>
            <w:r w:rsidRPr="00C57E71">
              <w:rPr>
                <w:sz w:val="20"/>
                <w:szCs w:val="20"/>
              </w:rPr>
              <w:t>Percent of Vermont residents receiving appropriate asthma medication management [Claims]</w:t>
            </w:r>
          </w:p>
        </w:tc>
        <w:tc>
          <w:tcPr>
            <w:tcW w:w="1590" w:type="dxa"/>
            <w:shd w:val="clear" w:color="auto" w:fill="auto"/>
            <w:tcMar>
              <w:top w:w="0" w:type="dxa"/>
              <w:left w:w="43" w:type="dxa"/>
              <w:bottom w:w="0" w:type="dxa"/>
              <w:right w:w="43" w:type="dxa"/>
            </w:tcMar>
            <w:vAlign w:val="center"/>
          </w:tcPr>
          <w:p w14:paraId="48B0B1EF" w14:textId="77777777" w:rsidR="00C13128" w:rsidRPr="00C57E71" w:rsidRDefault="00C13128" w:rsidP="00753933">
            <w:pPr>
              <w:spacing w:after="0" w:line="240" w:lineRule="auto"/>
              <w:jc w:val="center"/>
              <w:rPr>
                <w:sz w:val="20"/>
                <w:szCs w:val="20"/>
              </w:rPr>
            </w:pPr>
            <w:r w:rsidRPr="00C57E71">
              <w:rPr>
                <w:sz w:val="20"/>
                <w:szCs w:val="20"/>
              </w:rPr>
              <w:t>&lt;25</w:t>
            </w:r>
            <w:r w:rsidRPr="00C57E71">
              <w:rPr>
                <w:sz w:val="20"/>
                <w:szCs w:val="20"/>
                <w:vertAlign w:val="superscript"/>
              </w:rPr>
              <w:t>th</w:t>
            </w:r>
            <w:r w:rsidRPr="00C57E71">
              <w:rPr>
                <w:sz w:val="20"/>
                <w:szCs w:val="20"/>
              </w:rPr>
              <w:t xml:space="preserve"> percentile </w:t>
            </w:r>
          </w:p>
          <w:p w14:paraId="3DA6FAA9"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(2014)</w:t>
            </w:r>
          </w:p>
        </w:tc>
        <w:tc>
          <w:tcPr>
            <w:tcW w:w="1080" w:type="dxa"/>
            <w:shd w:val="clear" w:color="auto" w:fill="auto"/>
            <w:tcMar>
              <w:top w:w="0" w:type="dxa"/>
              <w:left w:w="43" w:type="dxa"/>
              <w:bottom w:w="0" w:type="dxa"/>
              <w:right w:w="43" w:type="dxa"/>
            </w:tcMar>
            <w:vAlign w:val="center"/>
          </w:tcPr>
          <w:p w14:paraId="49EB0142"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TBD</w:t>
            </w:r>
            <w:r w:rsidRPr="00C57E71">
              <w:rPr>
                <w:sz w:val="20"/>
                <w:szCs w:val="20"/>
                <w:vertAlign w:val="superscript"/>
              </w:rPr>
              <w:t>4</w:t>
            </w:r>
          </w:p>
        </w:tc>
        <w:tc>
          <w:tcPr>
            <w:tcW w:w="2602" w:type="dxa"/>
            <w:shd w:val="clear" w:color="auto" w:fill="auto"/>
            <w:tcMar>
              <w:top w:w="0" w:type="dxa"/>
              <w:left w:w="43" w:type="dxa"/>
              <w:bottom w:w="0" w:type="dxa"/>
              <w:right w:w="43" w:type="dxa"/>
            </w:tcMar>
            <w:vAlign w:val="center"/>
          </w:tcPr>
          <w:p w14:paraId="579C0EFA"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25</w:t>
            </w:r>
            <w:r w:rsidRPr="00C57E71">
              <w:rPr>
                <w:sz w:val="20"/>
                <w:szCs w:val="20"/>
                <w:vertAlign w:val="superscript"/>
              </w:rPr>
              <w:t>th</w:t>
            </w:r>
            <w:r w:rsidRPr="00C57E71">
              <w:rPr>
                <w:sz w:val="20"/>
                <w:szCs w:val="20"/>
              </w:rPr>
              <w:t xml:space="preserve"> percentile </w:t>
            </w:r>
          </w:p>
        </w:tc>
      </w:tr>
      <w:tr w:rsidR="00C13128" w:rsidRPr="00C57E71" w14:paraId="43D825B3" w14:textId="77777777" w:rsidTr="00753933">
        <w:trPr>
          <w:trHeight w:val="288"/>
        </w:trPr>
        <w:tc>
          <w:tcPr>
            <w:tcW w:w="5512" w:type="dxa"/>
            <w:shd w:val="clear" w:color="auto" w:fill="auto"/>
            <w:tcMar>
              <w:top w:w="0" w:type="dxa"/>
              <w:left w:w="43" w:type="dxa"/>
              <w:bottom w:w="0" w:type="dxa"/>
              <w:right w:w="43" w:type="dxa"/>
            </w:tcMar>
          </w:tcPr>
          <w:p w14:paraId="66AB8D3F" w14:textId="77777777" w:rsidR="00C13128" w:rsidRPr="00C57E71" w:rsidRDefault="00C13128" w:rsidP="00753933">
            <w:pPr>
              <w:spacing w:after="0" w:line="240" w:lineRule="auto"/>
              <w:rPr>
                <w:rFonts w:eastAsia="Times New Roman" w:cs="Arial"/>
                <w:sz w:val="20"/>
                <w:szCs w:val="20"/>
              </w:rPr>
            </w:pPr>
            <w:r w:rsidRPr="00C57E71">
              <w:rPr>
                <w:sz w:val="20"/>
                <w:szCs w:val="20"/>
              </w:rPr>
              <w:t>Multi-Payer ACO tobacco use assessment and cessation intervention [Clinical]</w:t>
            </w:r>
          </w:p>
        </w:tc>
        <w:tc>
          <w:tcPr>
            <w:tcW w:w="1590" w:type="dxa"/>
            <w:shd w:val="clear" w:color="auto" w:fill="auto"/>
            <w:tcMar>
              <w:top w:w="0" w:type="dxa"/>
              <w:left w:w="43" w:type="dxa"/>
              <w:bottom w:w="0" w:type="dxa"/>
              <w:right w:w="43" w:type="dxa"/>
            </w:tcMar>
            <w:vAlign w:val="center"/>
          </w:tcPr>
          <w:p w14:paraId="5E5689A5" w14:textId="77777777" w:rsidR="00C13128" w:rsidRPr="00C57E71" w:rsidRDefault="00C13128" w:rsidP="00753933">
            <w:pPr>
              <w:spacing w:after="0" w:line="240" w:lineRule="auto"/>
              <w:jc w:val="center"/>
              <w:rPr>
                <w:sz w:val="20"/>
                <w:szCs w:val="20"/>
              </w:rPr>
            </w:pPr>
            <w:r w:rsidRPr="00C57E71">
              <w:rPr>
                <w:sz w:val="20"/>
                <w:szCs w:val="20"/>
              </w:rPr>
              <w:t>~75</w:t>
            </w:r>
            <w:r w:rsidRPr="00C57E71">
              <w:rPr>
                <w:sz w:val="20"/>
                <w:szCs w:val="20"/>
                <w:vertAlign w:val="superscript"/>
              </w:rPr>
              <w:t>th</w:t>
            </w:r>
            <w:r w:rsidRPr="00C57E71">
              <w:rPr>
                <w:sz w:val="20"/>
                <w:szCs w:val="20"/>
              </w:rPr>
              <w:t xml:space="preserve"> percentile </w:t>
            </w:r>
          </w:p>
          <w:p w14:paraId="38EB5E07"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(2014-15)</w:t>
            </w:r>
          </w:p>
        </w:tc>
        <w:tc>
          <w:tcPr>
            <w:tcW w:w="1080" w:type="dxa"/>
            <w:shd w:val="clear" w:color="auto" w:fill="auto"/>
            <w:tcMar>
              <w:top w:w="0" w:type="dxa"/>
              <w:left w:w="43" w:type="dxa"/>
              <w:bottom w:w="0" w:type="dxa"/>
              <w:right w:w="43" w:type="dxa"/>
            </w:tcMar>
            <w:vAlign w:val="center"/>
          </w:tcPr>
          <w:p w14:paraId="3882F947"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TBD</w:t>
            </w:r>
            <w:r w:rsidRPr="00C57E71">
              <w:rPr>
                <w:sz w:val="20"/>
                <w:szCs w:val="20"/>
                <w:vertAlign w:val="superscript"/>
              </w:rPr>
              <w:t>4</w:t>
            </w:r>
          </w:p>
        </w:tc>
        <w:tc>
          <w:tcPr>
            <w:tcW w:w="2602" w:type="dxa"/>
            <w:shd w:val="clear" w:color="auto" w:fill="auto"/>
            <w:tcMar>
              <w:top w:w="0" w:type="dxa"/>
              <w:left w:w="43" w:type="dxa"/>
              <w:bottom w:w="0" w:type="dxa"/>
              <w:right w:w="43" w:type="dxa"/>
            </w:tcMar>
            <w:vAlign w:val="center"/>
          </w:tcPr>
          <w:p w14:paraId="13A1DE41" w14:textId="77777777" w:rsidR="00C13128" w:rsidRPr="00C57E71" w:rsidRDefault="00C13128" w:rsidP="00753933">
            <w:pPr>
              <w:spacing w:after="0" w:line="240" w:lineRule="auto"/>
              <w:jc w:val="center"/>
              <w:rPr>
                <w:rFonts w:eastAsia="Times New Roman" w:cs="Arial"/>
                <w:sz w:val="20"/>
                <w:szCs w:val="20"/>
              </w:rPr>
            </w:pPr>
            <w:r w:rsidRPr="00C57E71">
              <w:rPr>
                <w:sz w:val="20"/>
                <w:szCs w:val="20"/>
              </w:rPr>
              <w:t>75</w:t>
            </w:r>
            <w:r w:rsidRPr="00C57E71">
              <w:rPr>
                <w:sz w:val="20"/>
                <w:szCs w:val="20"/>
                <w:vertAlign w:val="superscript"/>
              </w:rPr>
              <w:t>th</w:t>
            </w:r>
            <w:r w:rsidRPr="00C57E71">
              <w:rPr>
                <w:sz w:val="20"/>
                <w:szCs w:val="20"/>
              </w:rPr>
              <w:t xml:space="preserve"> percentile compared to Medicare nationally</w:t>
            </w:r>
          </w:p>
        </w:tc>
      </w:tr>
    </w:tbl>
    <w:p w14:paraId="361551C5" w14:textId="3E6019F3" w:rsidR="00093552" w:rsidRPr="00C13128" w:rsidRDefault="00C13128" w:rsidP="00C13128">
      <w:pPr>
        <w:spacing w:before="80" w:after="0" w:line="216" w:lineRule="auto"/>
        <w:rPr>
          <w:sz w:val="16"/>
          <w:szCs w:val="16"/>
        </w:rPr>
      </w:pPr>
      <w:r w:rsidRPr="007120D0">
        <w:rPr>
          <w:sz w:val="16"/>
          <w:szCs w:val="16"/>
          <w:vertAlign w:val="superscript"/>
        </w:rPr>
        <w:t xml:space="preserve">1 </w:t>
      </w:r>
      <w:r w:rsidRPr="007120D0">
        <w:rPr>
          <w:sz w:val="16"/>
          <w:szCs w:val="12"/>
        </w:rPr>
        <w:t>Calculated by Medicare, available with 9/30/19 report</w:t>
      </w:r>
      <w:r>
        <w:rPr>
          <w:sz w:val="16"/>
          <w:szCs w:val="12"/>
        </w:rPr>
        <w:t>.</w:t>
      </w:r>
      <w:r w:rsidRPr="007120D0">
        <w:rPr>
          <w:sz w:val="16"/>
          <w:szCs w:val="16"/>
          <w:vertAlign w:val="superscript"/>
        </w:rPr>
        <w:t xml:space="preserve"> 2 </w:t>
      </w:r>
      <w:r w:rsidRPr="007120D0">
        <w:rPr>
          <w:sz w:val="16"/>
          <w:szCs w:val="12"/>
        </w:rPr>
        <w:t>As reported in the 2017 Final VMNG report to the legislature; reflective of Medicaid ACO-attributed lives only.</w:t>
      </w:r>
      <w:r>
        <w:rPr>
          <w:sz w:val="16"/>
          <w:szCs w:val="12"/>
        </w:rPr>
        <w:t xml:space="preserve"> </w:t>
      </w:r>
      <w:r w:rsidRPr="007120D0">
        <w:rPr>
          <w:sz w:val="16"/>
          <w:szCs w:val="16"/>
          <w:vertAlign w:val="superscript"/>
        </w:rPr>
        <w:t xml:space="preserve">3 </w:t>
      </w:r>
      <w:r w:rsidRPr="007120D0">
        <w:rPr>
          <w:sz w:val="16"/>
          <w:szCs w:val="12"/>
        </w:rPr>
        <w:t>Calculated by the Department of Vermont Health Access and Medicare, separately</w:t>
      </w:r>
      <w:r>
        <w:rPr>
          <w:sz w:val="16"/>
          <w:szCs w:val="12"/>
        </w:rPr>
        <w:t>.</w:t>
      </w:r>
      <w:r>
        <w:rPr>
          <w:sz w:val="16"/>
          <w:szCs w:val="16"/>
          <w:vertAlign w:val="superscript"/>
        </w:rPr>
        <w:t xml:space="preserve"> </w:t>
      </w:r>
      <w:r w:rsidRPr="007120D0">
        <w:rPr>
          <w:sz w:val="16"/>
          <w:szCs w:val="16"/>
          <w:vertAlign w:val="superscript"/>
        </w:rPr>
        <w:t xml:space="preserve">4 </w:t>
      </w:r>
      <w:r w:rsidRPr="007120D0">
        <w:rPr>
          <w:sz w:val="16"/>
          <w:szCs w:val="12"/>
        </w:rPr>
        <w:t>Reported by GMCB Analytics Contractor, available with 9/30/19 report.</w:t>
      </w:r>
      <w:r>
        <w:rPr>
          <w:sz w:val="16"/>
          <w:szCs w:val="12"/>
        </w:rPr>
        <w:t xml:space="preserve"> </w:t>
      </w:r>
      <w:r>
        <w:rPr>
          <w:sz w:val="16"/>
          <w:szCs w:val="12"/>
        </w:rPr>
        <w:br/>
      </w:r>
      <w:r w:rsidRPr="007120D0">
        <w:rPr>
          <w:sz w:val="16"/>
          <w:szCs w:val="16"/>
          <w:vertAlign w:val="superscript"/>
        </w:rPr>
        <w:t xml:space="preserve">5 </w:t>
      </w:r>
      <w:r w:rsidRPr="007120D0">
        <w:rPr>
          <w:sz w:val="16"/>
          <w:szCs w:val="12"/>
        </w:rPr>
        <w:t xml:space="preserve">Data presented are shown as a percent change over the previous year. 2016-2017 results are preliminary. </w:t>
      </w:r>
      <w:r w:rsidRPr="007120D0">
        <w:rPr>
          <w:sz w:val="16"/>
          <w:szCs w:val="16"/>
          <w:vertAlign w:val="superscript"/>
        </w:rPr>
        <w:t xml:space="preserve">6 </w:t>
      </w:r>
      <w:r w:rsidRPr="007120D0">
        <w:rPr>
          <w:sz w:val="16"/>
          <w:szCs w:val="12"/>
        </w:rPr>
        <w:t>Calculated by the Vermont Department of Health, data for 2017 not available at the time of this report.</w:t>
      </w:r>
      <w:r>
        <w:rPr>
          <w:sz w:val="16"/>
          <w:szCs w:val="12"/>
        </w:rPr>
        <w:t xml:space="preserve"> </w:t>
      </w:r>
      <w:r w:rsidRPr="007120D0">
        <w:rPr>
          <w:sz w:val="16"/>
          <w:szCs w:val="16"/>
          <w:vertAlign w:val="superscript"/>
        </w:rPr>
        <w:t>7</w:t>
      </w:r>
      <w:r>
        <w:rPr>
          <w:sz w:val="16"/>
          <w:szCs w:val="16"/>
          <w:vertAlign w:val="superscript"/>
        </w:rPr>
        <w:t xml:space="preserve"> </w:t>
      </w:r>
      <w:r w:rsidRPr="007120D0">
        <w:rPr>
          <w:sz w:val="16"/>
          <w:szCs w:val="12"/>
        </w:rPr>
        <w:t>Hubs &amp; Spokes report rates per 100,000. For consistency with the APM, rates have been calculated per 10,000 using 2016 population estimates (ages 18-64).</w:t>
      </w:r>
    </w:p>
    <w:sectPr w:rsidR="00093552" w:rsidRPr="00C13128" w:rsidSect="00C13128">
      <w:footerReference w:type="default" r:id="rId8"/>
      <w:pgSz w:w="12240" w:h="15840"/>
      <w:pgMar w:top="720" w:right="720" w:bottom="540" w:left="72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A598" w14:textId="77777777" w:rsidR="009D06D6" w:rsidRDefault="009D06D6" w:rsidP="00A80679">
      <w:pPr>
        <w:spacing w:after="0" w:line="240" w:lineRule="auto"/>
      </w:pPr>
      <w:r>
        <w:separator/>
      </w:r>
    </w:p>
  </w:endnote>
  <w:endnote w:type="continuationSeparator" w:id="0">
    <w:p w14:paraId="27D7CE81" w14:textId="77777777" w:rsidR="009D06D6" w:rsidRDefault="009D06D6" w:rsidP="00A8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34A6" w14:textId="1621FCE3" w:rsidR="009F7D26" w:rsidRPr="00C13128" w:rsidRDefault="009F7D26" w:rsidP="004E40BA">
    <w:pPr>
      <w:pStyle w:val="Footer"/>
      <w:pBdr>
        <w:top w:val="single" w:sz="2" w:space="0" w:color="auto"/>
      </w:pBdr>
      <w:rPr>
        <w:sz w:val="18"/>
      </w:rPr>
    </w:pPr>
    <w:r>
      <w:rPr>
        <w:rFonts w:ascii="Calibri" w:eastAsia="Calibri" w:hAnsi="Calibri" w:cs="Times New Roman"/>
        <w:sz w:val="18"/>
      </w:rPr>
      <w:t xml:space="preserve">Last Updated: </w:t>
    </w:r>
    <w:r>
      <w:rPr>
        <w:rFonts w:ascii="Calibri" w:eastAsia="Calibri" w:hAnsi="Calibri" w:cs="Times New Roman"/>
        <w:sz w:val="18"/>
      </w:rPr>
      <w:fldChar w:fldCharType="begin"/>
    </w:r>
    <w:r>
      <w:rPr>
        <w:rFonts w:ascii="Calibri" w:eastAsia="Calibri" w:hAnsi="Calibri" w:cs="Times New Roman"/>
        <w:sz w:val="18"/>
      </w:rPr>
      <w:instrText xml:space="preserve"> SAVEDATE  \@ "M/d/yyyy"  \* MERGEFORMAT </w:instrText>
    </w:r>
    <w:r>
      <w:rPr>
        <w:rFonts w:ascii="Calibri" w:eastAsia="Calibri" w:hAnsi="Calibri" w:cs="Times New Roman"/>
        <w:sz w:val="18"/>
      </w:rPr>
      <w:fldChar w:fldCharType="separate"/>
    </w:r>
    <w:r w:rsidR="002E3E96">
      <w:rPr>
        <w:rFonts w:ascii="Calibri" w:eastAsia="Calibri" w:hAnsi="Calibri" w:cs="Times New Roman"/>
        <w:noProof/>
        <w:sz w:val="18"/>
      </w:rPr>
      <w:t>3/15/2019</w:t>
    </w:r>
    <w:r>
      <w:rPr>
        <w:rFonts w:ascii="Calibri" w:eastAsia="Calibri" w:hAnsi="Calibri"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6D34" w14:textId="77777777" w:rsidR="009D06D6" w:rsidRDefault="009D06D6" w:rsidP="00A80679">
      <w:pPr>
        <w:spacing w:after="0" w:line="240" w:lineRule="auto"/>
      </w:pPr>
      <w:r>
        <w:separator/>
      </w:r>
    </w:p>
  </w:footnote>
  <w:footnote w:type="continuationSeparator" w:id="0">
    <w:p w14:paraId="135099E7" w14:textId="77777777" w:rsidR="009D06D6" w:rsidRDefault="009D06D6" w:rsidP="00A80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20FA"/>
    <w:multiLevelType w:val="hybridMultilevel"/>
    <w:tmpl w:val="C0F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2AC3"/>
    <w:multiLevelType w:val="hybridMultilevel"/>
    <w:tmpl w:val="476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24A44"/>
    <w:multiLevelType w:val="hybridMultilevel"/>
    <w:tmpl w:val="E88C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02BE7"/>
    <w:multiLevelType w:val="hybridMultilevel"/>
    <w:tmpl w:val="D4F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A1B70"/>
    <w:multiLevelType w:val="hybridMultilevel"/>
    <w:tmpl w:val="7C9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B2F11"/>
    <w:multiLevelType w:val="hybridMultilevel"/>
    <w:tmpl w:val="B82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D1D94"/>
    <w:multiLevelType w:val="hybridMultilevel"/>
    <w:tmpl w:val="1BE224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9C"/>
    <w:rsid w:val="00093552"/>
    <w:rsid w:val="000A5504"/>
    <w:rsid w:val="001B2E9A"/>
    <w:rsid w:val="00226E17"/>
    <w:rsid w:val="002C5381"/>
    <w:rsid w:val="002E3E96"/>
    <w:rsid w:val="002E7766"/>
    <w:rsid w:val="002F2321"/>
    <w:rsid w:val="00344A9C"/>
    <w:rsid w:val="00354E2C"/>
    <w:rsid w:val="003A0A0D"/>
    <w:rsid w:val="003C2709"/>
    <w:rsid w:val="003C43BB"/>
    <w:rsid w:val="003C6426"/>
    <w:rsid w:val="00445734"/>
    <w:rsid w:val="00492AC2"/>
    <w:rsid w:val="004E40BA"/>
    <w:rsid w:val="004F78F5"/>
    <w:rsid w:val="00503837"/>
    <w:rsid w:val="00515202"/>
    <w:rsid w:val="0052692B"/>
    <w:rsid w:val="00571A09"/>
    <w:rsid w:val="00591E77"/>
    <w:rsid w:val="005B289C"/>
    <w:rsid w:val="005E71DC"/>
    <w:rsid w:val="005F3C30"/>
    <w:rsid w:val="00636E97"/>
    <w:rsid w:val="00676662"/>
    <w:rsid w:val="006A0380"/>
    <w:rsid w:val="006A2847"/>
    <w:rsid w:val="00774DFB"/>
    <w:rsid w:val="00822AE6"/>
    <w:rsid w:val="00853874"/>
    <w:rsid w:val="008962B2"/>
    <w:rsid w:val="009267F2"/>
    <w:rsid w:val="009A7475"/>
    <w:rsid w:val="009D06D6"/>
    <w:rsid w:val="009F7D26"/>
    <w:rsid w:val="00A303A2"/>
    <w:rsid w:val="00A4148C"/>
    <w:rsid w:val="00A80679"/>
    <w:rsid w:val="00B36F1F"/>
    <w:rsid w:val="00B669C3"/>
    <w:rsid w:val="00B849C5"/>
    <w:rsid w:val="00BD4148"/>
    <w:rsid w:val="00C13128"/>
    <w:rsid w:val="00C165CD"/>
    <w:rsid w:val="00C579BF"/>
    <w:rsid w:val="00CB3038"/>
    <w:rsid w:val="00CD2A24"/>
    <w:rsid w:val="00D6180E"/>
    <w:rsid w:val="00D66AD0"/>
    <w:rsid w:val="00DC04B0"/>
    <w:rsid w:val="00E209DE"/>
    <w:rsid w:val="00E31CDF"/>
    <w:rsid w:val="00E57659"/>
    <w:rsid w:val="00E93D9E"/>
    <w:rsid w:val="00EB32F9"/>
    <w:rsid w:val="00F37EBA"/>
    <w:rsid w:val="00FF0154"/>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9767C"/>
  <w15:chartTrackingRefBased/>
  <w15:docId w15:val="{2199AF26-3EC9-4711-9AC1-453AD07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2692B"/>
    <w:rPr>
      <w:i/>
      <w:iCs/>
      <w:color w:val="404040" w:themeColor="text1" w:themeTint="BF"/>
    </w:rPr>
  </w:style>
  <w:style w:type="paragraph" w:styleId="ListParagraph">
    <w:name w:val="List Paragraph"/>
    <w:basedOn w:val="Normal"/>
    <w:uiPriority w:val="34"/>
    <w:qFormat/>
    <w:rsid w:val="006A0380"/>
    <w:pPr>
      <w:ind w:left="720"/>
      <w:contextualSpacing/>
    </w:pPr>
  </w:style>
  <w:style w:type="character" w:styleId="CommentReference">
    <w:name w:val="annotation reference"/>
    <w:basedOn w:val="DefaultParagraphFont"/>
    <w:uiPriority w:val="99"/>
    <w:semiHidden/>
    <w:unhideWhenUsed/>
    <w:rsid w:val="00A4148C"/>
    <w:rPr>
      <w:sz w:val="16"/>
      <w:szCs w:val="16"/>
    </w:rPr>
  </w:style>
  <w:style w:type="paragraph" w:styleId="CommentText">
    <w:name w:val="annotation text"/>
    <w:basedOn w:val="Normal"/>
    <w:link w:val="CommentTextChar"/>
    <w:uiPriority w:val="99"/>
    <w:semiHidden/>
    <w:unhideWhenUsed/>
    <w:rsid w:val="00A4148C"/>
    <w:pPr>
      <w:spacing w:line="240" w:lineRule="auto"/>
    </w:pPr>
    <w:rPr>
      <w:sz w:val="20"/>
      <w:szCs w:val="20"/>
    </w:rPr>
  </w:style>
  <w:style w:type="character" w:customStyle="1" w:styleId="CommentTextChar">
    <w:name w:val="Comment Text Char"/>
    <w:basedOn w:val="DefaultParagraphFont"/>
    <w:link w:val="CommentText"/>
    <w:uiPriority w:val="99"/>
    <w:semiHidden/>
    <w:rsid w:val="00A4148C"/>
    <w:rPr>
      <w:sz w:val="20"/>
      <w:szCs w:val="20"/>
    </w:rPr>
  </w:style>
  <w:style w:type="paragraph" w:styleId="CommentSubject">
    <w:name w:val="annotation subject"/>
    <w:basedOn w:val="CommentText"/>
    <w:next w:val="CommentText"/>
    <w:link w:val="CommentSubjectChar"/>
    <w:uiPriority w:val="99"/>
    <w:semiHidden/>
    <w:unhideWhenUsed/>
    <w:rsid w:val="00A4148C"/>
    <w:rPr>
      <w:b/>
      <w:bCs/>
    </w:rPr>
  </w:style>
  <w:style w:type="character" w:customStyle="1" w:styleId="CommentSubjectChar">
    <w:name w:val="Comment Subject Char"/>
    <w:basedOn w:val="CommentTextChar"/>
    <w:link w:val="CommentSubject"/>
    <w:uiPriority w:val="99"/>
    <w:semiHidden/>
    <w:rsid w:val="00A4148C"/>
    <w:rPr>
      <w:b/>
      <w:bCs/>
      <w:sz w:val="20"/>
      <w:szCs w:val="20"/>
    </w:rPr>
  </w:style>
  <w:style w:type="paragraph" w:styleId="BalloonText">
    <w:name w:val="Balloon Text"/>
    <w:basedOn w:val="Normal"/>
    <w:link w:val="BalloonTextChar"/>
    <w:uiPriority w:val="99"/>
    <w:semiHidden/>
    <w:unhideWhenUsed/>
    <w:rsid w:val="00A4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8C"/>
    <w:rPr>
      <w:rFonts w:ascii="Segoe UI" w:hAnsi="Segoe UI" w:cs="Segoe UI"/>
      <w:sz w:val="18"/>
      <w:szCs w:val="18"/>
    </w:rPr>
  </w:style>
  <w:style w:type="character" w:styleId="IntenseEmphasis">
    <w:name w:val="Intense Emphasis"/>
    <w:basedOn w:val="DefaultParagraphFont"/>
    <w:uiPriority w:val="21"/>
    <w:qFormat/>
    <w:rsid w:val="00A4148C"/>
    <w:rPr>
      <w:i/>
      <w:iCs/>
      <w:color w:val="4F81BD" w:themeColor="accent1"/>
    </w:rPr>
  </w:style>
  <w:style w:type="paragraph" w:styleId="Quote">
    <w:name w:val="Quote"/>
    <w:basedOn w:val="Normal"/>
    <w:next w:val="Normal"/>
    <w:link w:val="QuoteChar"/>
    <w:uiPriority w:val="29"/>
    <w:qFormat/>
    <w:rsid w:val="00A414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148C"/>
    <w:rPr>
      <w:i/>
      <w:iCs/>
      <w:color w:val="404040" w:themeColor="text1" w:themeTint="BF"/>
    </w:rPr>
  </w:style>
  <w:style w:type="paragraph" w:styleId="NoSpacing">
    <w:name w:val="No Spacing"/>
    <w:uiPriority w:val="1"/>
    <w:qFormat/>
    <w:rsid w:val="00A4148C"/>
    <w:pPr>
      <w:spacing w:after="0" w:line="240" w:lineRule="auto"/>
    </w:pPr>
  </w:style>
  <w:style w:type="character" w:styleId="Strong">
    <w:name w:val="Strong"/>
    <w:basedOn w:val="DefaultParagraphFont"/>
    <w:uiPriority w:val="22"/>
    <w:qFormat/>
    <w:rsid w:val="00A4148C"/>
    <w:rPr>
      <w:b/>
      <w:bCs/>
    </w:rPr>
  </w:style>
  <w:style w:type="paragraph" w:styleId="Header">
    <w:name w:val="header"/>
    <w:basedOn w:val="Normal"/>
    <w:link w:val="HeaderChar"/>
    <w:uiPriority w:val="99"/>
    <w:unhideWhenUsed/>
    <w:rsid w:val="00A80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79"/>
  </w:style>
  <w:style w:type="paragraph" w:styleId="Footer">
    <w:name w:val="footer"/>
    <w:basedOn w:val="Normal"/>
    <w:link w:val="FooterChar"/>
    <w:uiPriority w:val="99"/>
    <w:unhideWhenUsed/>
    <w:qFormat/>
    <w:rsid w:val="00A80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79"/>
  </w:style>
  <w:style w:type="paragraph" w:styleId="Revision">
    <w:name w:val="Revision"/>
    <w:hidden/>
    <w:uiPriority w:val="99"/>
    <w:semiHidden/>
    <w:rsid w:val="00C165CD"/>
    <w:pPr>
      <w:spacing w:after="0" w:line="240" w:lineRule="auto"/>
    </w:pPr>
  </w:style>
  <w:style w:type="character" w:styleId="PageNumber">
    <w:name w:val="page number"/>
    <w:basedOn w:val="DefaultParagraphFont"/>
    <w:semiHidden/>
    <w:qFormat/>
    <w:rsid w:val="009F7D26"/>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9519-E21A-4593-B5A4-120265E6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1461</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Last Updated:</dc:subject>
  <dc:creator>Miles, Melissa</dc:creator>
  <cp:keywords/>
  <dc:description/>
  <cp:lastModifiedBy>Miles, Melissa</cp:lastModifiedBy>
  <cp:revision>2</cp:revision>
  <cp:lastPrinted>2019-03-15T17:56:00Z</cp:lastPrinted>
  <dcterms:created xsi:type="dcterms:W3CDTF">2019-03-18T17:55:00Z</dcterms:created>
  <dcterms:modified xsi:type="dcterms:W3CDTF">2019-03-18T17:55:00Z</dcterms:modified>
</cp:coreProperties>
</file>