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20C7" w14:textId="77777777" w:rsidR="00DC609C" w:rsidRDefault="00DC609C" w:rsidP="0008681A"/>
    <w:p w14:paraId="3AD4046A" w14:textId="77777777" w:rsidR="00DC609C" w:rsidRDefault="00DC609C" w:rsidP="0008681A"/>
    <w:p w14:paraId="6A054A84" w14:textId="4F900D0F" w:rsidR="0027304D" w:rsidRPr="00EE70A8" w:rsidRDefault="00A85F7E" w:rsidP="0008681A">
      <w:pPr>
        <w:pStyle w:val="Title"/>
      </w:pPr>
      <w:r w:rsidRPr="00DC609C">
        <w:t>FY</w:t>
      </w:r>
      <w:r w:rsidR="00576D5D">
        <w:t xml:space="preserve"> </w:t>
      </w:r>
      <w:r>
        <w:t>2021</w:t>
      </w:r>
      <w:r w:rsidRPr="00DC609C">
        <w:t xml:space="preserve"> </w:t>
      </w:r>
      <w:r w:rsidR="00DC609C" w:rsidRPr="00DC609C">
        <w:t xml:space="preserve">Budget Guidance and Reporting Requirements for Vermont Certified Accountable Care Organization: </w:t>
      </w:r>
      <w:r w:rsidR="00DC609C" w:rsidRPr="0020431C">
        <w:rPr>
          <w:rFonts w:eastAsiaTheme="majorEastAsia"/>
          <w:b w:val="0"/>
        </w:rPr>
        <w:t>OneCare Vermont, ACO, LLC</w:t>
      </w:r>
    </w:p>
    <w:p w14:paraId="68089001" w14:textId="77777777" w:rsidR="0027304D" w:rsidRPr="007B341E" w:rsidRDefault="0027304D" w:rsidP="0008681A"/>
    <w:p w14:paraId="4336779E" w14:textId="77777777" w:rsidR="0027304D" w:rsidRPr="007B341E" w:rsidRDefault="0027304D" w:rsidP="0008681A"/>
    <w:p w14:paraId="1B97B594" w14:textId="334A7886" w:rsidR="0027304D" w:rsidRPr="00921B24" w:rsidRDefault="008E1CFE" w:rsidP="0008681A">
      <w:pPr>
        <w:pStyle w:val="Subtitle"/>
      </w:pPr>
      <w:r w:rsidRPr="00921B24">
        <w:t xml:space="preserve">Effective </w:t>
      </w:r>
      <w:r w:rsidR="001C3A42" w:rsidRPr="00921B24">
        <w:t xml:space="preserve">July 1, </w:t>
      </w:r>
      <w:r w:rsidR="00A85F7E">
        <w:t>2020</w:t>
      </w:r>
    </w:p>
    <w:p w14:paraId="7074B62C" w14:textId="77777777" w:rsidR="0027304D" w:rsidRPr="007B341E" w:rsidRDefault="0027304D" w:rsidP="0008681A"/>
    <w:p w14:paraId="487DA747" w14:textId="77777777" w:rsidR="0027304D" w:rsidRPr="00D64C42" w:rsidRDefault="0027304D" w:rsidP="0008681A"/>
    <w:p w14:paraId="17871AD9" w14:textId="77777777" w:rsidR="0027304D" w:rsidRPr="00EE70A8" w:rsidRDefault="0027304D" w:rsidP="0008681A">
      <w:pPr>
        <w:spacing w:after="0"/>
        <w:jc w:val="center"/>
        <w:rPr>
          <w:b/>
          <w:sz w:val="28"/>
        </w:rPr>
      </w:pPr>
      <w:r w:rsidRPr="00EE70A8">
        <w:rPr>
          <w:b/>
          <w:sz w:val="28"/>
        </w:rPr>
        <w:t>Prepared by:</w:t>
      </w:r>
    </w:p>
    <w:p w14:paraId="5034F230" w14:textId="77777777" w:rsidR="0027304D" w:rsidRPr="00EE70A8" w:rsidRDefault="0027304D" w:rsidP="0008681A">
      <w:pPr>
        <w:spacing w:after="0"/>
        <w:jc w:val="center"/>
        <w:rPr>
          <w:b/>
          <w:sz w:val="28"/>
        </w:rPr>
      </w:pPr>
    </w:p>
    <w:p w14:paraId="1A3BF175" w14:textId="2BAFA73C" w:rsidR="0027304D" w:rsidRPr="00EE70A8" w:rsidRDefault="0027304D" w:rsidP="0008681A">
      <w:pPr>
        <w:spacing w:after="0"/>
        <w:jc w:val="center"/>
        <w:rPr>
          <w:b/>
          <w:sz w:val="28"/>
        </w:rPr>
      </w:pPr>
      <w:r w:rsidRPr="00EE70A8">
        <w:rPr>
          <w:b/>
          <w:sz w:val="28"/>
        </w:rPr>
        <w:t>GREEN MOUNTAIN CARE BOARD</w:t>
      </w:r>
    </w:p>
    <w:p w14:paraId="08AADD10" w14:textId="77777777" w:rsidR="0027304D" w:rsidRPr="00EE70A8" w:rsidRDefault="0027171C" w:rsidP="0008681A">
      <w:pPr>
        <w:spacing w:after="0"/>
        <w:jc w:val="center"/>
        <w:rPr>
          <w:b/>
          <w:sz w:val="28"/>
        </w:rPr>
      </w:pPr>
      <w:r w:rsidRPr="00EE70A8">
        <w:rPr>
          <w:b/>
          <w:sz w:val="28"/>
        </w:rPr>
        <w:t>144 State</w:t>
      </w:r>
      <w:r w:rsidR="0027304D" w:rsidRPr="00EE70A8">
        <w:rPr>
          <w:b/>
          <w:sz w:val="28"/>
        </w:rPr>
        <w:t xml:space="preserve"> Street</w:t>
      </w:r>
    </w:p>
    <w:p w14:paraId="1DEF7433" w14:textId="77777777" w:rsidR="0027304D" w:rsidRPr="00EE70A8" w:rsidRDefault="0027304D" w:rsidP="0008681A">
      <w:pPr>
        <w:spacing w:after="0"/>
        <w:jc w:val="center"/>
        <w:rPr>
          <w:b/>
          <w:sz w:val="28"/>
        </w:rPr>
      </w:pPr>
      <w:r w:rsidRPr="00EE70A8">
        <w:rPr>
          <w:b/>
          <w:sz w:val="28"/>
        </w:rPr>
        <w:t xml:space="preserve">Montpelier, </w:t>
      </w:r>
      <w:r w:rsidR="007B341E" w:rsidRPr="00EE70A8">
        <w:rPr>
          <w:b/>
          <w:sz w:val="28"/>
        </w:rPr>
        <w:t xml:space="preserve">Vermont </w:t>
      </w:r>
      <w:r w:rsidR="0027171C" w:rsidRPr="00EE70A8">
        <w:rPr>
          <w:b/>
          <w:sz w:val="28"/>
        </w:rPr>
        <w:t>05602</w:t>
      </w:r>
    </w:p>
    <w:p w14:paraId="064983A6" w14:textId="77777777" w:rsidR="0027304D" w:rsidRPr="007B341E" w:rsidRDefault="0027304D" w:rsidP="0008681A"/>
    <w:p w14:paraId="4D4C36D8" w14:textId="77777777" w:rsidR="0027304D" w:rsidRPr="007B341E" w:rsidRDefault="0027304D" w:rsidP="0008681A"/>
    <w:p w14:paraId="7FE0D781" w14:textId="77777777" w:rsidR="0027304D" w:rsidRPr="007B341E" w:rsidRDefault="0027304D" w:rsidP="0008681A"/>
    <w:p w14:paraId="0485B105" w14:textId="5E2D251B" w:rsidR="00070B52" w:rsidRPr="00C8656D" w:rsidRDefault="00DC609C" w:rsidP="0008681A">
      <w:pPr>
        <w:rPr>
          <w:sz w:val="28"/>
        </w:rPr>
      </w:pPr>
      <w:r>
        <w:br w:type="page"/>
      </w:r>
    </w:p>
    <w:bookmarkStart w:id="0" w:name="_Toc42002455" w:displacedByCustomXml="next"/>
    <w:sdt>
      <w:sdtPr>
        <w:rPr>
          <w:b w:val="0"/>
          <w:bCs w:val="0"/>
          <w:sz w:val="24"/>
        </w:rPr>
        <w:id w:val="348918263"/>
        <w:docPartObj>
          <w:docPartGallery w:val="Table of Contents"/>
          <w:docPartUnique/>
        </w:docPartObj>
      </w:sdtPr>
      <w:sdtEndPr>
        <w:rPr>
          <w:noProof/>
        </w:rPr>
      </w:sdtEndPr>
      <w:sdtContent>
        <w:p w14:paraId="0E3935B8" w14:textId="77777777" w:rsidR="006447B8" w:rsidRDefault="00443AE7" w:rsidP="006447B8">
          <w:pPr>
            <w:pStyle w:val="TOCHeading"/>
            <w:jc w:val="center"/>
          </w:pPr>
          <w:r>
            <w:t>TABLE OF CONTENTS</w:t>
          </w:r>
          <w:bookmarkEnd w:id="0"/>
        </w:p>
        <w:p w14:paraId="29FBF4CC" w14:textId="2A8183AB" w:rsidR="001F0753" w:rsidRDefault="00013A2D">
          <w:pPr>
            <w:pStyle w:val="TOC1"/>
            <w:rPr>
              <w:rFonts w:asciiTheme="minorHAnsi" w:eastAsiaTheme="minorEastAsia" w:hAnsiTheme="minorHAnsi" w:cstheme="minorBidi"/>
              <w:b w:val="0"/>
              <w:bCs w:val="0"/>
              <w:noProof/>
              <w:sz w:val="22"/>
              <w:szCs w:val="22"/>
            </w:rPr>
          </w:pPr>
          <w:r>
            <w:rPr>
              <w:sz w:val="28"/>
            </w:rPr>
            <w:fldChar w:fldCharType="begin"/>
          </w:r>
          <w:r>
            <w:instrText xml:space="preserve"> TOC \o "1-3" \h \z \u </w:instrText>
          </w:r>
          <w:r>
            <w:rPr>
              <w:sz w:val="28"/>
            </w:rPr>
            <w:fldChar w:fldCharType="separate"/>
          </w:r>
          <w:hyperlink w:anchor="_Toc42002455" w:history="1">
            <w:r w:rsidR="001F0753" w:rsidRPr="00653957">
              <w:rPr>
                <w:rStyle w:val="Hyperlink"/>
                <w:noProof/>
              </w:rPr>
              <w:t>TABLE OF CONTENTS</w:t>
            </w:r>
            <w:r w:rsidR="001F0753">
              <w:rPr>
                <w:noProof/>
                <w:webHidden/>
              </w:rPr>
              <w:tab/>
            </w:r>
            <w:r w:rsidR="001F0753">
              <w:rPr>
                <w:noProof/>
                <w:webHidden/>
              </w:rPr>
              <w:fldChar w:fldCharType="begin"/>
            </w:r>
            <w:r w:rsidR="001F0753">
              <w:rPr>
                <w:noProof/>
                <w:webHidden/>
              </w:rPr>
              <w:instrText xml:space="preserve"> PAGEREF _Toc42002455 \h </w:instrText>
            </w:r>
            <w:r w:rsidR="001F0753">
              <w:rPr>
                <w:noProof/>
                <w:webHidden/>
              </w:rPr>
            </w:r>
            <w:r w:rsidR="001F0753">
              <w:rPr>
                <w:noProof/>
                <w:webHidden/>
              </w:rPr>
              <w:fldChar w:fldCharType="separate"/>
            </w:r>
            <w:r w:rsidR="001F0753">
              <w:rPr>
                <w:noProof/>
                <w:webHidden/>
              </w:rPr>
              <w:t>2</w:t>
            </w:r>
            <w:r w:rsidR="001F0753">
              <w:rPr>
                <w:noProof/>
                <w:webHidden/>
              </w:rPr>
              <w:fldChar w:fldCharType="end"/>
            </w:r>
          </w:hyperlink>
        </w:p>
        <w:p w14:paraId="41EB0276" w14:textId="1487CB4C" w:rsidR="001F0753" w:rsidRDefault="001F0753">
          <w:pPr>
            <w:pStyle w:val="TOC1"/>
            <w:rPr>
              <w:rFonts w:asciiTheme="minorHAnsi" w:eastAsiaTheme="minorEastAsia" w:hAnsiTheme="minorHAnsi" w:cstheme="minorBidi"/>
              <w:b w:val="0"/>
              <w:bCs w:val="0"/>
              <w:noProof/>
              <w:sz w:val="22"/>
              <w:szCs w:val="22"/>
            </w:rPr>
          </w:pPr>
          <w:hyperlink w:anchor="_Toc42002456" w:history="1">
            <w:r w:rsidRPr="00653957">
              <w:rPr>
                <w:rStyle w:val="Hyperlink"/>
                <w:noProof/>
              </w:rPr>
              <w:t>TIMELINE FOR FY 2021 BUDGET SUBMISSION</w:t>
            </w:r>
            <w:r>
              <w:rPr>
                <w:noProof/>
                <w:webHidden/>
              </w:rPr>
              <w:tab/>
            </w:r>
            <w:r>
              <w:rPr>
                <w:noProof/>
                <w:webHidden/>
              </w:rPr>
              <w:fldChar w:fldCharType="begin"/>
            </w:r>
            <w:r>
              <w:rPr>
                <w:noProof/>
                <w:webHidden/>
              </w:rPr>
              <w:instrText xml:space="preserve"> PAGEREF _Toc42002456 \h </w:instrText>
            </w:r>
            <w:r>
              <w:rPr>
                <w:noProof/>
                <w:webHidden/>
              </w:rPr>
            </w:r>
            <w:r>
              <w:rPr>
                <w:noProof/>
                <w:webHidden/>
              </w:rPr>
              <w:fldChar w:fldCharType="separate"/>
            </w:r>
            <w:r>
              <w:rPr>
                <w:noProof/>
                <w:webHidden/>
              </w:rPr>
              <w:t>4</w:t>
            </w:r>
            <w:r>
              <w:rPr>
                <w:noProof/>
                <w:webHidden/>
              </w:rPr>
              <w:fldChar w:fldCharType="end"/>
            </w:r>
          </w:hyperlink>
        </w:p>
        <w:p w14:paraId="6FCA463A" w14:textId="0F862AFA" w:rsidR="001F0753" w:rsidRDefault="001F0753">
          <w:pPr>
            <w:pStyle w:val="TOC1"/>
            <w:rPr>
              <w:rFonts w:asciiTheme="minorHAnsi" w:eastAsiaTheme="minorEastAsia" w:hAnsiTheme="minorHAnsi" w:cstheme="minorBidi"/>
              <w:b w:val="0"/>
              <w:bCs w:val="0"/>
              <w:noProof/>
              <w:sz w:val="22"/>
              <w:szCs w:val="22"/>
            </w:rPr>
          </w:pPr>
          <w:hyperlink w:anchor="_Toc42002457" w:history="1">
            <w:r w:rsidRPr="00653957">
              <w:rPr>
                <w:rStyle w:val="Hyperlink"/>
                <w:noProof/>
              </w:rPr>
              <w:t>INTRODUCTION</w:t>
            </w:r>
            <w:r>
              <w:rPr>
                <w:noProof/>
                <w:webHidden/>
              </w:rPr>
              <w:tab/>
            </w:r>
            <w:r>
              <w:rPr>
                <w:noProof/>
                <w:webHidden/>
              </w:rPr>
              <w:fldChar w:fldCharType="begin"/>
            </w:r>
            <w:r>
              <w:rPr>
                <w:noProof/>
                <w:webHidden/>
              </w:rPr>
              <w:instrText xml:space="preserve"> PAGEREF _Toc42002457 \h </w:instrText>
            </w:r>
            <w:r>
              <w:rPr>
                <w:noProof/>
                <w:webHidden/>
              </w:rPr>
            </w:r>
            <w:r>
              <w:rPr>
                <w:noProof/>
                <w:webHidden/>
              </w:rPr>
              <w:fldChar w:fldCharType="separate"/>
            </w:r>
            <w:r>
              <w:rPr>
                <w:noProof/>
                <w:webHidden/>
              </w:rPr>
              <w:t>5</w:t>
            </w:r>
            <w:r>
              <w:rPr>
                <w:noProof/>
                <w:webHidden/>
              </w:rPr>
              <w:fldChar w:fldCharType="end"/>
            </w:r>
          </w:hyperlink>
        </w:p>
        <w:p w14:paraId="3DF50559" w14:textId="40F2C178" w:rsidR="001F0753" w:rsidRDefault="001F0753">
          <w:pPr>
            <w:pStyle w:val="TOC1"/>
            <w:rPr>
              <w:rFonts w:asciiTheme="minorHAnsi" w:eastAsiaTheme="minorEastAsia" w:hAnsiTheme="minorHAnsi" w:cstheme="minorBidi"/>
              <w:b w:val="0"/>
              <w:bCs w:val="0"/>
              <w:noProof/>
              <w:sz w:val="22"/>
              <w:szCs w:val="22"/>
            </w:rPr>
          </w:pPr>
          <w:hyperlink w:anchor="_Toc42002458" w:history="1">
            <w:r w:rsidRPr="00653957">
              <w:rPr>
                <w:rStyle w:val="Hyperlink"/>
                <w:noProof/>
              </w:rPr>
              <w:t>FY 2021 BUDGET AND COVID-19</w:t>
            </w:r>
            <w:r>
              <w:rPr>
                <w:noProof/>
                <w:webHidden/>
              </w:rPr>
              <w:tab/>
            </w:r>
            <w:r>
              <w:rPr>
                <w:noProof/>
                <w:webHidden/>
              </w:rPr>
              <w:fldChar w:fldCharType="begin"/>
            </w:r>
            <w:r>
              <w:rPr>
                <w:noProof/>
                <w:webHidden/>
              </w:rPr>
              <w:instrText xml:space="preserve"> PAGEREF _Toc42002458 \h </w:instrText>
            </w:r>
            <w:r>
              <w:rPr>
                <w:noProof/>
                <w:webHidden/>
              </w:rPr>
            </w:r>
            <w:r>
              <w:rPr>
                <w:noProof/>
                <w:webHidden/>
              </w:rPr>
              <w:fldChar w:fldCharType="separate"/>
            </w:r>
            <w:r>
              <w:rPr>
                <w:noProof/>
                <w:webHidden/>
              </w:rPr>
              <w:t>5</w:t>
            </w:r>
            <w:r>
              <w:rPr>
                <w:noProof/>
                <w:webHidden/>
              </w:rPr>
              <w:fldChar w:fldCharType="end"/>
            </w:r>
          </w:hyperlink>
        </w:p>
        <w:p w14:paraId="7BDAFEEB" w14:textId="120C15EB" w:rsidR="001F0753" w:rsidRDefault="001F0753">
          <w:pPr>
            <w:pStyle w:val="TOC1"/>
            <w:rPr>
              <w:rFonts w:asciiTheme="minorHAnsi" w:eastAsiaTheme="minorEastAsia" w:hAnsiTheme="minorHAnsi" w:cstheme="minorBidi"/>
              <w:b w:val="0"/>
              <w:bCs w:val="0"/>
              <w:noProof/>
              <w:sz w:val="22"/>
              <w:szCs w:val="22"/>
            </w:rPr>
          </w:pPr>
          <w:hyperlink w:anchor="_Toc42002459" w:history="1">
            <w:r w:rsidRPr="00653957">
              <w:rPr>
                <w:rStyle w:val="Hyperlink"/>
                <w:noProof/>
              </w:rPr>
              <w:t>PART I. REPORTING REQUIREMENTS</w:t>
            </w:r>
            <w:r>
              <w:rPr>
                <w:noProof/>
                <w:webHidden/>
              </w:rPr>
              <w:tab/>
            </w:r>
            <w:r>
              <w:rPr>
                <w:noProof/>
                <w:webHidden/>
              </w:rPr>
              <w:fldChar w:fldCharType="begin"/>
            </w:r>
            <w:r>
              <w:rPr>
                <w:noProof/>
                <w:webHidden/>
              </w:rPr>
              <w:instrText xml:space="preserve"> PAGEREF _Toc42002459 \h </w:instrText>
            </w:r>
            <w:r>
              <w:rPr>
                <w:noProof/>
                <w:webHidden/>
              </w:rPr>
            </w:r>
            <w:r>
              <w:rPr>
                <w:noProof/>
                <w:webHidden/>
              </w:rPr>
              <w:fldChar w:fldCharType="separate"/>
            </w:r>
            <w:r>
              <w:rPr>
                <w:noProof/>
                <w:webHidden/>
              </w:rPr>
              <w:t>6</w:t>
            </w:r>
            <w:r>
              <w:rPr>
                <w:noProof/>
                <w:webHidden/>
              </w:rPr>
              <w:fldChar w:fldCharType="end"/>
            </w:r>
          </w:hyperlink>
        </w:p>
        <w:p w14:paraId="1B728A8A" w14:textId="0C1D91EC" w:rsidR="001F0753" w:rsidRDefault="001F0753">
          <w:pPr>
            <w:pStyle w:val="TOC2"/>
            <w:rPr>
              <w:rFonts w:asciiTheme="minorHAnsi" w:eastAsiaTheme="minorEastAsia" w:hAnsiTheme="minorHAnsi" w:cstheme="minorBidi"/>
              <w:sz w:val="22"/>
              <w:szCs w:val="22"/>
            </w:rPr>
          </w:pPr>
          <w:hyperlink w:anchor="_Toc42002460" w:history="1">
            <w:r w:rsidRPr="00653957">
              <w:rPr>
                <w:rStyle w:val="Hyperlink"/>
              </w:rPr>
              <w:t>Section 1: ACO Information and Background</w:t>
            </w:r>
            <w:r>
              <w:rPr>
                <w:webHidden/>
              </w:rPr>
              <w:tab/>
            </w:r>
            <w:r>
              <w:rPr>
                <w:webHidden/>
              </w:rPr>
              <w:fldChar w:fldCharType="begin"/>
            </w:r>
            <w:r>
              <w:rPr>
                <w:webHidden/>
              </w:rPr>
              <w:instrText xml:space="preserve"> PAGEREF _Toc42002460 \h </w:instrText>
            </w:r>
            <w:r>
              <w:rPr>
                <w:webHidden/>
              </w:rPr>
            </w:r>
            <w:r>
              <w:rPr>
                <w:webHidden/>
              </w:rPr>
              <w:fldChar w:fldCharType="separate"/>
            </w:r>
            <w:r>
              <w:rPr>
                <w:webHidden/>
              </w:rPr>
              <w:t>6</w:t>
            </w:r>
            <w:r>
              <w:rPr>
                <w:webHidden/>
              </w:rPr>
              <w:fldChar w:fldCharType="end"/>
            </w:r>
          </w:hyperlink>
        </w:p>
        <w:p w14:paraId="14398BB4" w14:textId="2F12A888" w:rsidR="001F0753" w:rsidRDefault="001F0753">
          <w:pPr>
            <w:pStyle w:val="TOC2"/>
            <w:rPr>
              <w:rFonts w:asciiTheme="minorHAnsi" w:eastAsiaTheme="minorEastAsia" w:hAnsiTheme="minorHAnsi" w:cstheme="minorBidi"/>
              <w:sz w:val="22"/>
              <w:szCs w:val="22"/>
            </w:rPr>
          </w:pPr>
          <w:hyperlink w:anchor="_Toc42002461" w:history="1">
            <w:r w:rsidRPr="00653957">
              <w:rPr>
                <w:rStyle w:val="Hyperlink"/>
              </w:rPr>
              <w:t>Section 2: ACO Provider Network</w:t>
            </w:r>
            <w:r>
              <w:rPr>
                <w:webHidden/>
              </w:rPr>
              <w:tab/>
            </w:r>
            <w:r>
              <w:rPr>
                <w:webHidden/>
              </w:rPr>
              <w:fldChar w:fldCharType="begin"/>
            </w:r>
            <w:r>
              <w:rPr>
                <w:webHidden/>
              </w:rPr>
              <w:instrText xml:space="preserve"> PAGEREF _Toc42002461 \h </w:instrText>
            </w:r>
            <w:r>
              <w:rPr>
                <w:webHidden/>
              </w:rPr>
            </w:r>
            <w:r>
              <w:rPr>
                <w:webHidden/>
              </w:rPr>
              <w:fldChar w:fldCharType="separate"/>
            </w:r>
            <w:r>
              <w:rPr>
                <w:webHidden/>
              </w:rPr>
              <w:t>6</w:t>
            </w:r>
            <w:r>
              <w:rPr>
                <w:webHidden/>
              </w:rPr>
              <w:fldChar w:fldCharType="end"/>
            </w:r>
          </w:hyperlink>
        </w:p>
        <w:p w14:paraId="7EB13B5F" w14:textId="5D1AD6B0" w:rsidR="001F0753" w:rsidRDefault="001F0753">
          <w:pPr>
            <w:pStyle w:val="TOC2"/>
            <w:rPr>
              <w:rFonts w:asciiTheme="minorHAnsi" w:eastAsiaTheme="minorEastAsia" w:hAnsiTheme="minorHAnsi" w:cstheme="minorBidi"/>
              <w:sz w:val="22"/>
              <w:szCs w:val="22"/>
            </w:rPr>
          </w:pPr>
          <w:hyperlink w:anchor="_Toc42002462" w:history="1">
            <w:r w:rsidRPr="00653957">
              <w:rPr>
                <w:rStyle w:val="Hyperlink"/>
              </w:rPr>
              <w:t>Section 3: ACO Payer Programs</w:t>
            </w:r>
            <w:r>
              <w:rPr>
                <w:webHidden/>
              </w:rPr>
              <w:tab/>
            </w:r>
            <w:r>
              <w:rPr>
                <w:webHidden/>
              </w:rPr>
              <w:fldChar w:fldCharType="begin"/>
            </w:r>
            <w:r>
              <w:rPr>
                <w:webHidden/>
              </w:rPr>
              <w:instrText xml:space="preserve"> PAGEREF _Toc42002462 \h </w:instrText>
            </w:r>
            <w:r>
              <w:rPr>
                <w:webHidden/>
              </w:rPr>
            </w:r>
            <w:r>
              <w:rPr>
                <w:webHidden/>
              </w:rPr>
              <w:fldChar w:fldCharType="separate"/>
            </w:r>
            <w:r>
              <w:rPr>
                <w:webHidden/>
              </w:rPr>
              <w:t>7</w:t>
            </w:r>
            <w:r>
              <w:rPr>
                <w:webHidden/>
              </w:rPr>
              <w:fldChar w:fldCharType="end"/>
            </w:r>
          </w:hyperlink>
        </w:p>
        <w:p w14:paraId="703FBA8C" w14:textId="6F1206E2" w:rsidR="001F0753" w:rsidRDefault="001F0753">
          <w:pPr>
            <w:pStyle w:val="TOC2"/>
            <w:rPr>
              <w:rFonts w:asciiTheme="minorHAnsi" w:eastAsiaTheme="minorEastAsia" w:hAnsiTheme="minorHAnsi" w:cstheme="minorBidi"/>
              <w:sz w:val="22"/>
              <w:szCs w:val="22"/>
            </w:rPr>
          </w:pPr>
          <w:hyperlink w:anchor="_Toc42002463" w:history="1">
            <w:r w:rsidRPr="00653957">
              <w:rPr>
                <w:rStyle w:val="Hyperlink"/>
              </w:rPr>
              <w:t>Section 4: Total Cost of Care</w:t>
            </w:r>
            <w:r>
              <w:rPr>
                <w:webHidden/>
              </w:rPr>
              <w:tab/>
            </w:r>
            <w:r>
              <w:rPr>
                <w:webHidden/>
              </w:rPr>
              <w:fldChar w:fldCharType="begin"/>
            </w:r>
            <w:r>
              <w:rPr>
                <w:webHidden/>
              </w:rPr>
              <w:instrText xml:space="preserve"> PAGEREF _Toc42002463 \h </w:instrText>
            </w:r>
            <w:r>
              <w:rPr>
                <w:webHidden/>
              </w:rPr>
            </w:r>
            <w:r>
              <w:rPr>
                <w:webHidden/>
              </w:rPr>
              <w:fldChar w:fldCharType="separate"/>
            </w:r>
            <w:r>
              <w:rPr>
                <w:webHidden/>
              </w:rPr>
              <w:t>7</w:t>
            </w:r>
            <w:r>
              <w:rPr>
                <w:webHidden/>
              </w:rPr>
              <w:fldChar w:fldCharType="end"/>
            </w:r>
          </w:hyperlink>
        </w:p>
        <w:p w14:paraId="57E4839F" w14:textId="79574CE5" w:rsidR="001F0753" w:rsidRDefault="001F0753">
          <w:pPr>
            <w:pStyle w:val="TOC2"/>
            <w:rPr>
              <w:rFonts w:asciiTheme="minorHAnsi" w:eastAsiaTheme="minorEastAsia" w:hAnsiTheme="minorHAnsi" w:cstheme="minorBidi"/>
              <w:sz w:val="22"/>
              <w:szCs w:val="22"/>
            </w:rPr>
          </w:pPr>
          <w:hyperlink w:anchor="_Toc42002464" w:history="1">
            <w:r w:rsidRPr="00653957">
              <w:rPr>
                <w:rStyle w:val="Hyperlink"/>
              </w:rPr>
              <w:t>Section 5: Risk Management</w:t>
            </w:r>
            <w:r>
              <w:rPr>
                <w:webHidden/>
              </w:rPr>
              <w:tab/>
            </w:r>
            <w:r>
              <w:rPr>
                <w:webHidden/>
              </w:rPr>
              <w:fldChar w:fldCharType="begin"/>
            </w:r>
            <w:r>
              <w:rPr>
                <w:webHidden/>
              </w:rPr>
              <w:instrText xml:space="preserve"> PAGEREF _Toc42002464 \h </w:instrText>
            </w:r>
            <w:r>
              <w:rPr>
                <w:webHidden/>
              </w:rPr>
            </w:r>
            <w:r>
              <w:rPr>
                <w:webHidden/>
              </w:rPr>
              <w:fldChar w:fldCharType="separate"/>
            </w:r>
            <w:r>
              <w:rPr>
                <w:webHidden/>
              </w:rPr>
              <w:t>8</w:t>
            </w:r>
            <w:r>
              <w:rPr>
                <w:webHidden/>
              </w:rPr>
              <w:fldChar w:fldCharType="end"/>
            </w:r>
          </w:hyperlink>
        </w:p>
        <w:p w14:paraId="749A40DA" w14:textId="54C4B023" w:rsidR="001F0753" w:rsidRDefault="001F0753">
          <w:pPr>
            <w:pStyle w:val="TOC2"/>
            <w:rPr>
              <w:rFonts w:asciiTheme="minorHAnsi" w:eastAsiaTheme="minorEastAsia" w:hAnsiTheme="minorHAnsi" w:cstheme="minorBidi"/>
              <w:sz w:val="22"/>
              <w:szCs w:val="22"/>
            </w:rPr>
          </w:pPr>
          <w:hyperlink w:anchor="_Toc42002465" w:history="1">
            <w:r w:rsidRPr="00653957">
              <w:rPr>
                <w:rStyle w:val="Hyperlink"/>
              </w:rPr>
              <w:t>Section 6: ACO Budget</w:t>
            </w:r>
            <w:r>
              <w:rPr>
                <w:webHidden/>
              </w:rPr>
              <w:tab/>
            </w:r>
            <w:r>
              <w:rPr>
                <w:webHidden/>
              </w:rPr>
              <w:fldChar w:fldCharType="begin"/>
            </w:r>
            <w:r>
              <w:rPr>
                <w:webHidden/>
              </w:rPr>
              <w:instrText xml:space="preserve"> PAGEREF _Toc42002465 \h </w:instrText>
            </w:r>
            <w:r>
              <w:rPr>
                <w:webHidden/>
              </w:rPr>
            </w:r>
            <w:r>
              <w:rPr>
                <w:webHidden/>
              </w:rPr>
              <w:fldChar w:fldCharType="separate"/>
            </w:r>
            <w:r>
              <w:rPr>
                <w:webHidden/>
              </w:rPr>
              <w:t>9</w:t>
            </w:r>
            <w:r>
              <w:rPr>
                <w:webHidden/>
              </w:rPr>
              <w:fldChar w:fldCharType="end"/>
            </w:r>
          </w:hyperlink>
        </w:p>
        <w:p w14:paraId="5CB6E015" w14:textId="5BEB69DF" w:rsidR="001F0753" w:rsidRDefault="001F0753">
          <w:pPr>
            <w:pStyle w:val="TOC2"/>
            <w:rPr>
              <w:rFonts w:asciiTheme="minorHAnsi" w:eastAsiaTheme="minorEastAsia" w:hAnsiTheme="minorHAnsi" w:cstheme="minorBidi"/>
              <w:sz w:val="22"/>
              <w:szCs w:val="22"/>
            </w:rPr>
          </w:pPr>
          <w:hyperlink w:anchor="_Toc42002466" w:history="1">
            <w:r w:rsidRPr="00653957">
              <w:rPr>
                <w:rStyle w:val="Hyperlink"/>
              </w:rPr>
              <w:t>Section 7: ACO Quality, Population Health, Model of Care, and Community Integration</w:t>
            </w:r>
            <w:r>
              <w:rPr>
                <w:webHidden/>
              </w:rPr>
              <w:tab/>
            </w:r>
            <w:r>
              <w:rPr>
                <w:webHidden/>
              </w:rPr>
              <w:fldChar w:fldCharType="begin"/>
            </w:r>
            <w:r>
              <w:rPr>
                <w:webHidden/>
              </w:rPr>
              <w:instrText xml:space="preserve"> PAGEREF _Toc42002466 \h </w:instrText>
            </w:r>
            <w:r>
              <w:rPr>
                <w:webHidden/>
              </w:rPr>
            </w:r>
            <w:r>
              <w:rPr>
                <w:webHidden/>
              </w:rPr>
              <w:fldChar w:fldCharType="separate"/>
            </w:r>
            <w:r>
              <w:rPr>
                <w:webHidden/>
              </w:rPr>
              <w:t>10</w:t>
            </w:r>
            <w:r>
              <w:rPr>
                <w:webHidden/>
              </w:rPr>
              <w:fldChar w:fldCharType="end"/>
            </w:r>
          </w:hyperlink>
        </w:p>
        <w:p w14:paraId="6EBF6D41" w14:textId="69EA02B0" w:rsidR="001F0753" w:rsidRDefault="001F0753">
          <w:pPr>
            <w:pStyle w:val="TOC2"/>
            <w:rPr>
              <w:rFonts w:asciiTheme="minorHAnsi" w:eastAsiaTheme="minorEastAsia" w:hAnsiTheme="minorHAnsi" w:cstheme="minorBidi"/>
              <w:sz w:val="22"/>
              <w:szCs w:val="22"/>
            </w:rPr>
          </w:pPr>
          <w:hyperlink w:anchor="_Toc42002467" w:history="1">
            <w:r w:rsidRPr="00653957">
              <w:rPr>
                <w:rStyle w:val="Hyperlink"/>
              </w:rPr>
              <w:t>Section 8: Other Vermont All-Payer ACO Model Questions</w:t>
            </w:r>
            <w:r>
              <w:rPr>
                <w:webHidden/>
              </w:rPr>
              <w:tab/>
            </w:r>
            <w:r>
              <w:rPr>
                <w:webHidden/>
              </w:rPr>
              <w:fldChar w:fldCharType="begin"/>
            </w:r>
            <w:r>
              <w:rPr>
                <w:webHidden/>
              </w:rPr>
              <w:instrText xml:space="preserve"> PAGEREF _Toc42002467 \h </w:instrText>
            </w:r>
            <w:r>
              <w:rPr>
                <w:webHidden/>
              </w:rPr>
            </w:r>
            <w:r>
              <w:rPr>
                <w:webHidden/>
              </w:rPr>
              <w:fldChar w:fldCharType="separate"/>
            </w:r>
            <w:r>
              <w:rPr>
                <w:webHidden/>
              </w:rPr>
              <w:t>12</w:t>
            </w:r>
            <w:r>
              <w:rPr>
                <w:webHidden/>
              </w:rPr>
              <w:fldChar w:fldCharType="end"/>
            </w:r>
          </w:hyperlink>
        </w:p>
        <w:p w14:paraId="40CF3878" w14:textId="63B1CFD7" w:rsidR="001F0753" w:rsidRDefault="001F0753">
          <w:pPr>
            <w:pStyle w:val="TOC1"/>
            <w:rPr>
              <w:rFonts w:asciiTheme="minorHAnsi" w:eastAsiaTheme="minorEastAsia" w:hAnsiTheme="minorHAnsi" w:cstheme="minorBidi"/>
              <w:b w:val="0"/>
              <w:bCs w:val="0"/>
              <w:noProof/>
              <w:sz w:val="22"/>
              <w:szCs w:val="22"/>
            </w:rPr>
          </w:pPr>
          <w:hyperlink w:anchor="_Toc42002468" w:history="1">
            <w:r w:rsidRPr="00653957">
              <w:rPr>
                <w:rStyle w:val="Hyperlink"/>
                <w:noProof/>
              </w:rPr>
              <w:t>PART II. ACO BUDGET TARGETS</w:t>
            </w:r>
            <w:r>
              <w:rPr>
                <w:noProof/>
                <w:webHidden/>
              </w:rPr>
              <w:tab/>
            </w:r>
            <w:r>
              <w:rPr>
                <w:noProof/>
                <w:webHidden/>
              </w:rPr>
              <w:fldChar w:fldCharType="begin"/>
            </w:r>
            <w:r>
              <w:rPr>
                <w:noProof/>
                <w:webHidden/>
              </w:rPr>
              <w:instrText xml:space="preserve"> PAGEREF _Toc42002468 \h </w:instrText>
            </w:r>
            <w:r>
              <w:rPr>
                <w:noProof/>
                <w:webHidden/>
              </w:rPr>
            </w:r>
            <w:r>
              <w:rPr>
                <w:noProof/>
                <w:webHidden/>
              </w:rPr>
              <w:fldChar w:fldCharType="separate"/>
            </w:r>
            <w:r>
              <w:rPr>
                <w:noProof/>
                <w:webHidden/>
              </w:rPr>
              <w:t>12</w:t>
            </w:r>
            <w:r>
              <w:rPr>
                <w:noProof/>
                <w:webHidden/>
              </w:rPr>
              <w:fldChar w:fldCharType="end"/>
            </w:r>
          </w:hyperlink>
        </w:p>
        <w:p w14:paraId="68B6361F" w14:textId="05FFC472" w:rsidR="001F0753" w:rsidRDefault="001F0753">
          <w:pPr>
            <w:pStyle w:val="TOC1"/>
            <w:rPr>
              <w:rFonts w:asciiTheme="minorHAnsi" w:eastAsiaTheme="minorEastAsia" w:hAnsiTheme="minorHAnsi" w:cstheme="minorBidi"/>
              <w:b w:val="0"/>
              <w:bCs w:val="0"/>
              <w:noProof/>
              <w:sz w:val="22"/>
              <w:szCs w:val="22"/>
            </w:rPr>
          </w:pPr>
          <w:hyperlink w:anchor="_Toc42002469" w:history="1">
            <w:r w:rsidRPr="00653957">
              <w:rPr>
                <w:rStyle w:val="Hyperlink"/>
                <w:noProof/>
              </w:rPr>
              <w:t>PART III. REVISED BUDGET</w:t>
            </w:r>
            <w:r>
              <w:rPr>
                <w:noProof/>
                <w:webHidden/>
              </w:rPr>
              <w:tab/>
            </w:r>
            <w:r>
              <w:rPr>
                <w:noProof/>
                <w:webHidden/>
              </w:rPr>
              <w:fldChar w:fldCharType="begin"/>
            </w:r>
            <w:r>
              <w:rPr>
                <w:noProof/>
                <w:webHidden/>
              </w:rPr>
              <w:instrText xml:space="preserve"> PAGEREF _Toc42002469 \h </w:instrText>
            </w:r>
            <w:r>
              <w:rPr>
                <w:noProof/>
                <w:webHidden/>
              </w:rPr>
            </w:r>
            <w:r>
              <w:rPr>
                <w:noProof/>
                <w:webHidden/>
              </w:rPr>
              <w:fldChar w:fldCharType="separate"/>
            </w:r>
            <w:r>
              <w:rPr>
                <w:noProof/>
                <w:webHidden/>
              </w:rPr>
              <w:t>13</w:t>
            </w:r>
            <w:r>
              <w:rPr>
                <w:noProof/>
                <w:webHidden/>
              </w:rPr>
              <w:fldChar w:fldCharType="end"/>
            </w:r>
          </w:hyperlink>
        </w:p>
        <w:p w14:paraId="31473DFF" w14:textId="1AEAD5D8" w:rsidR="001F0753" w:rsidRDefault="001F0753">
          <w:pPr>
            <w:pStyle w:val="TOC1"/>
            <w:rPr>
              <w:rFonts w:asciiTheme="minorHAnsi" w:eastAsiaTheme="minorEastAsia" w:hAnsiTheme="minorHAnsi" w:cstheme="minorBidi"/>
              <w:b w:val="0"/>
              <w:bCs w:val="0"/>
              <w:noProof/>
              <w:sz w:val="22"/>
              <w:szCs w:val="22"/>
            </w:rPr>
          </w:pPr>
          <w:hyperlink w:anchor="_Toc42002470" w:history="1">
            <w:r w:rsidRPr="00653957">
              <w:rPr>
                <w:rStyle w:val="Hyperlink"/>
                <w:noProof/>
              </w:rPr>
              <w:t>PART IV. MONITORING</w:t>
            </w:r>
            <w:r>
              <w:rPr>
                <w:noProof/>
                <w:webHidden/>
              </w:rPr>
              <w:tab/>
            </w:r>
            <w:r>
              <w:rPr>
                <w:noProof/>
                <w:webHidden/>
              </w:rPr>
              <w:fldChar w:fldCharType="begin"/>
            </w:r>
            <w:r>
              <w:rPr>
                <w:noProof/>
                <w:webHidden/>
              </w:rPr>
              <w:instrText xml:space="preserve"> PAGEREF _Toc42002470 \h </w:instrText>
            </w:r>
            <w:r>
              <w:rPr>
                <w:noProof/>
                <w:webHidden/>
              </w:rPr>
            </w:r>
            <w:r>
              <w:rPr>
                <w:noProof/>
                <w:webHidden/>
              </w:rPr>
              <w:fldChar w:fldCharType="separate"/>
            </w:r>
            <w:r>
              <w:rPr>
                <w:noProof/>
                <w:webHidden/>
              </w:rPr>
              <w:t>13</w:t>
            </w:r>
            <w:r>
              <w:rPr>
                <w:noProof/>
                <w:webHidden/>
              </w:rPr>
              <w:fldChar w:fldCharType="end"/>
            </w:r>
          </w:hyperlink>
        </w:p>
        <w:p w14:paraId="70C60C2D" w14:textId="15222759" w:rsidR="00013A2D" w:rsidRDefault="00013A2D">
          <w:r>
            <w:rPr>
              <w:b/>
              <w:bCs/>
              <w:noProof/>
            </w:rPr>
            <w:fldChar w:fldCharType="end"/>
          </w:r>
        </w:p>
      </w:sdtContent>
    </w:sdt>
    <w:p w14:paraId="4A424644" w14:textId="77777777" w:rsidR="0000215E" w:rsidRPr="0000215E" w:rsidRDefault="0000215E" w:rsidP="00FD585A">
      <w:pPr>
        <w:pStyle w:val="TOC1"/>
        <w:pBdr>
          <w:bottom w:val="single" w:sz="6" w:space="1" w:color="auto"/>
        </w:pBdr>
        <w:rPr>
          <w:rStyle w:val="Hyperlink"/>
          <w:noProof/>
          <w:color w:val="auto"/>
          <w:sz w:val="2"/>
          <w:szCs w:val="2"/>
          <w:u w:val="none"/>
        </w:rPr>
      </w:pPr>
    </w:p>
    <w:p w14:paraId="0A03A2B5" w14:textId="51222932" w:rsidR="00163D69" w:rsidRPr="00FD585A" w:rsidRDefault="0008681A" w:rsidP="00FD585A">
      <w:pPr>
        <w:pStyle w:val="TOC1"/>
        <w:rPr>
          <w:rFonts w:asciiTheme="minorHAnsi" w:eastAsiaTheme="minorEastAsia" w:hAnsiTheme="minorHAnsi" w:cstheme="minorBidi"/>
          <w:noProof/>
          <w:sz w:val="22"/>
          <w:szCs w:val="22"/>
        </w:rPr>
      </w:pPr>
      <w:r w:rsidRPr="00FD585A">
        <w:rPr>
          <w:rStyle w:val="Hyperlink"/>
          <w:noProof/>
          <w:color w:val="auto"/>
          <w:u w:val="none"/>
        </w:rPr>
        <w:t>APPENDICES (Attached)</w:t>
      </w:r>
    </w:p>
    <w:p w14:paraId="15F59937" w14:textId="71BF8E40" w:rsidR="00163D69" w:rsidRDefault="0000215E" w:rsidP="005F3F84">
      <w:pPr>
        <w:pStyle w:val="TOC2"/>
        <w:rPr>
          <w:rStyle w:val="Hyperlink"/>
          <w:color w:val="auto"/>
          <w:u w:val="none"/>
        </w:rPr>
      </w:pPr>
      <w:r w:rsidRPr="0008681A">
        <w:rPr>
          <w:rStyle w:val="Hyperlink"/>
          <w:color w:val="auto"/>
          <w:u w:val="none"/>
        </w:rPr>
        <w:t>Appendix 2.1</w:t>
      </w:r>
      <w:r>
        <w:rPr>
          <w:rStyle w:val="Hyperlink"/>
          <w:color w:val="auto"/>
          <w:u w:val="none"/>
        </w:rPr>
        <w:t xml:space="preserve"> </w:t>
      </w:r>
      <w:r>
        <w:rPr>
          <w:rStyle w:val="Hyperlink"/>
          <w:color w:val="auto"/>
          <w:u w:val="none"/>
        </w:rPr>
        <w:tab/>
      </w:r>
      <w:r w:rsidR="0008681A" w:rsidRPr="0008681A">
        <w:rPr>
          <w:rStyle w:val="Hyperlink"/>
          <w:color w:val="auto"/>
          <w:u w:val="none"/>
        </w:rPr>
        <w:t>202</w:t>
      </w:r>
      <w:r w:rsidR="001B51B1">
        <w:rPr>
          <w:rStyle w:val="Hyperlink"/>
          <w:color w:val="auto"/>
          <w:u w:val="none"/>
        </w:rPr>
        <w:t>1</w:t>
      </w:r>
      <w:r w:rsidR="0008681A" w:rsidRPr="0008681A">
        <w:rPr>
          <w:rStyle w:val="Hyperlink"/>
          <w:color w:val="auto"/>
          <w:u w:val="none"/>
        </w:rPr>
        <w:t xml:space="preserve"> ACO Provider Network</w:t>
      </w:r>
      <w:r w:rsidR="00FD585A">
        <w:rPr>
          <w:rStyle w:val="Hyperlink"/>
          <w:color w:val="auto"/>
          <w:u w:val="none"/>
        </w:rPr>
        <w:t xml:space="preserve"> Template</w:t>
      </w:r>
    </w:p>
    <w:p w14:paraId="38AA9B27" w14:textId="1C0CD2F2" w:rsidR="0008681A" w:rsidRPr="0008681A" w:rsidRDefault="0000215E" w:rsidP="005F3F84">
      <w:pPr>
        <w:pStyle w:val="TOC2"/>
        <w:rPr>
          <w:rStyle w:val="Hyperlink"/>
          <w:color w:val="auto"/>
          <w:u w:val="none"/>
        </w:rPr>
      </w:pPr>
      <w:r w:rsidRPr="0008681A">
        <w:rPr>
          <w:rStyle w:val="Hyperlink"/>
          <w:color w:val="auto"/>
          <w:u w:val="none"/>
        </w:rPr>
        <w:t>Appendix 2.2</w:t>
      </w:r>
      <w:r>
        <w:rPr>
          <w:rStyle w:val="Hyperlink"/>
          <w:color w:val="auto"/>
          <w:u w:val="none"/>
        </w:rPr>
        <w:t xml:space="preserve"> </w:t>
      </w:r>
      <w:r>
        <w:rPr>
          <w:rStyle w:val="Hyperlink"/>
          <w:color w:val="auto"/>
          <w:u w:val="none"/>
        </w:rPr>
        <w:tab/>
      </w:r>
      <w:r w:rsidR="0008681A" w:rsidRPr="0008681A">
        <w:rPr>
          <w:rStyle w:val="Hyperlink"/>
          <w:color w:val="auto"/>
          <w:u w:val="none"/>
        </w:rPr>
        <w:t>202</w:t>
      </w:r>
      <w:r w:rsidR="001B51B1">
        <w:rPr>
          <w:rStyle w:val="Hyperlink"/>
          <w:color w:val="auto"/>
          <w:u w:val="none"/>
        </w:rPr>
        <w:t>1</w:t>
      </w:r>
      <w:r w:rsidR="0008681A" w:rsidRPr="0008681A">
        <w:rPr>
          <w:rStyle w:val="Hyperlink"/>
          <w:color w:val="auto"/>
          <w:u w:val="none"/>
        </w:rPr>
        <w:t xml:space="preserve"> </w:t>
      </w:r>
      <w:r w:rsidR="001B51B1">
        <w:rPr>
          <w:rStyle w:val="Hyperlink"/>
          <w:color w:val="auto"/>
          <w:u w:val="none"/>
        </w:rPr>
        <w:t>Provider Lists</w:t>
      </w:r>
      <w:r w:rsidR="0008681A" w:rsidRPr="0008681A">
        <w:rPr>
          <w:rStyle w:val="Hyperlink"/>
          <w:color w:val="auto"/>
          <w:u w:val="none"/>
        </w:rPr>
        <w:t xml:space="preserve"> – Electronic Only</w:t>
      </w:r>
    </w:p>
    <w:p w14:paraId="720A3FD5" w14:textId="14A50131" w:rsidR="0008681A" w:rsidRPr="00FD585A" w:rsidRDefault="000706C0" w:rsidP="005F3F84">
      <w:pPr>
        <w:pStyle w:val="TOC2"/>
        <w:rPr>
          <w:rStyle w:val="Hyperlink"/>
          <w:color w:val="auto"/>
          <w:u w:val="none"/>
        </w:rPr>
      </w:pPr>
      <w:r>
        <w:rPr>
          <w:rStyle w:val="Hyperlink"/>
          <w:color w:val="auto"/>
          <w:u w:val="none"/>
        </w:rPr>
        <w:t xml:space="preserve">Appendix 3.1  </w:t>
      </w:r>
      <w:r w:rsidR="001B51B1" w:rsidRPr="001B51B1">
        <w:t>ACO Scale Target Initiatives and Program Alignment Form</w:t>
      </w:r>
    </w:p>
    <w:p w14:paraId="794B7534" w14:textId="17DD81FD" w:rsidR="00CE2511" w:rsidRDefault="0000215E" w:rsidP="005F3F84">
      <w:pPr>
        <w:pStyle w:val="TOC2"/>
        <w:rPr>
          <w:rStyle w:val="Hyperlink"/>
          <w:color w:val="auto"/>
          <w:u w:val="none"/>
        </w:rPr>
      </w:pPr>
      <w:r w:rsidRPr="00FD585A">
        <w:rPr>
          <w:rStyle w:val="Hyperlink"/>
          <w:color w:val="auto"/>
          <w:u w:val="none"/>
        </w:rPr>
        <w:t xml:space="preserve">Appendix </w:t>
      </w:r>
      <w:r w:rsidR="00CE2511">
        <w:rPr>
          <w:rStyle w:val="Hyperlink"/>
          <w:color w:val="auto"/>
          <w:u w:val="none"/>
        </w:rPr>
        <w:t>4</w:t>
      </w:r>
      <w:r w:rsidRPr="00FD585A">
        <w:rPr>
          <w:rStyle w:val="Hyperlink"/>
          <w:color w:val="auto"/>
          <w:u w:val="none"/>
        </w:rPr>
        <w:t>.1</w:t>
      </w:r>
      <w:r w:rsidR="00C7240B">
        <w:rPr>
          <w:rStyle w:val="Hyperlink"/>
          <w:color w:val="auto"/>
          <w:u w:val="none"/>
        </w:rPr>
        <w:t xml:space="preserve">  </w:t>
      </w:r>
      <w:r w:rsidR="00B419EF" w:rsidRPr="00B419EF">
        <w:t>TCOC Prior Year Performance by Payer, by HSA (2019)</w:t>
      </w:r>
    </w:p>
    <w:p w14:paraId="6D07F479" w14:textId="712281BA" w:rsidR="00CE2511" w:rsidRPr="0008495E" w:rsidRDefault="00CE2511" w:rsidP="005F3F84">
      <w:pPr>
        <w:pStyle w:val="TOC2"/>
        <w:rPr>
          <w:rStyle w:val="Hyperlink"/>
          <w:color w:val="auto"/>
          <w:u w:val="none"/>
        </w:rPr>
      </w:pPr>
      <w:r>
        <w:rPr>
          <w:rStyle w:val="Hyperlink"/>
          <w:color w:val="auto"/>
          <w:u w:val="none"/>
        </w:rPr>
        <w:t xml:space="preserve">Appendix 4.2  </w:t>
      </w:r>
      <w:r w:rsidR="0008495E" w:rsidRPr="0008495E">
        <w:t>TCOC Current Year Projected Performance by Payer, by HSA (2020)</w:t>
      </w:r>
    </w:p>
    <w:p w14:paraId="0C0DAE18" w14:textId="77777777" w:rsidR="00C7240B" w:rsidRDefault="00CE2511" w:rsidP="005F3F84">
      <w:pPr>
        <w:pStyle w:val="TOC2"/>
      </w:pPr>
      <w:r>
        <w:rPr>
          <w:rStyle w:val="Hyperlink"/>
          <w:color w:val="auto"/>
          <w:u w:val="none"/>
        </w:rPr>
        <w:t xml:space="preserve">Appendix 4.3  </w:t>
      </w:r>
      <w:r w:rsidR="00C7240B" w:rsidRPr="00C7240B">
        <w:t>Projected and Budgeted Trend Rates by Payer Program</w:t>
      </w:r>
    </w:p>
    <w:p w14:paraId="63296BFF" w14:textId="0E8510EC" w:rsidR="00C7240B" w:rsidRDefault="00C7240B" w:rsidP="005F3F84">
      <w:pPr>
        <w:pStyle w:val="TOC2"/>
      </w:pPr>
      <w:r w:rsidRPr="00C7240B">
        <w:t>Appendix 4.4</w:t>
      </w:r>
      <w:r>
        <w:t xml:space="preserve">  </w:t>
      </w:r>
      <w:r w:rsidRPr="00C7240B">
        <w:t xml:space="preserve">TCOC Budget Year Targets by Payer, by HSA (2021) </w:t>
      </w:r>
    </w:p>
    <w:p w14:paraId="445486FC" w14:textId="4A49DBE1" w:rsidR="00CE2511" w:rsidRPr="00C7240B" w:rsidRDefault="00C7240B" w:rsidP="005F3F84">
      <w:pPr>
        <w:pStyle w:val="TOC2"/>
      </w:pPr>
      <w:r w:rsidRPr="00C7240B">
        <w:t>Appendix 4.5</w:t>
      </w:r>
      <w:r>
        <w:t xml:space="preserve">  </w:t>
      </w:r>
      <w:r w:rsidRPr="00C7240B">
        <w:t>Service Risk by Payer, by HSA</w:t>
      </w:r>
    </w:p>
    <w:p w14:paraId="630ADE35" w14:textId="5CB390AA" w:rsidR="000706C0" w:rsidRPr="00FD585A" w:rsidRDefault="000706C0" w:rsidP="005F3F84">
      <w:pPr>
        <w:pStyle w:val="TOC2"/>
        <w:rPr>
          <w:rStyle w:val="Hyperlink"/>
          <w:color w:val="auto"/>
          <w:u w:val="none"/>
        </w:rPr>
      </w:pPr>
      <w:r w:rsidRPr="00FD585A">
        <w:rPr>
          <w:rStyle w:val="Hyperlink"/>
          <w:color w:val="auto"/>
          <w:u w:val="none"/>
        </w:rPr>
        <w:t xml:space="preserve">Appendix </w:t>
      </w:r>
      <w:r>
        <w:rPr>
          <w:rStyle w:val="Hyperlink"/>
          <w:color w:val="auto"/>
          <w:u w:val="none"/>
        </w:rPr>
        <w:t>5</w:t>
      </w:r>
      <w:r w:rsidRPr="00FD585A">
        <w:rPr>
          <w:rStyle w:val="Hyperlink"/>
          <w:color w:val="auto"/>
          <w:u w:val="none"/>
        </w:rPr>
        <w:t>.</w:t>
      </w:r>
      <w:r>
        <w:rPr>
          <w:rStyle w:val="Hyperlink"/>
          <w:color w:val="auto"/>
          <w:u w:val="none"/>
        </w:rPr>
        <w:t>1</w:t>
      </w:r>
      <w:r>
        <w:rPr>
          <w:rStyle w:val="Hyperlink"/>
          <w:color w:val="auto"/>
          <w:u w:val="none"/>
        </w:rPr>
        <w:tab/>
      </w:r>
      <w:r w:rsidR="00BF4812" w:rsidRPr="00BF4812">
        <w:t>ACO Risk by Payer</w:t>
      </w:r>
      <w:r w:rsidRPr="00FD585A">
        <w:rPr>
          <w:rStyle w:val="Hyperlink"/>
          <w:color w:val="auto"/>
          <w:u w:val="none"/>
        </w:rPr>
        <w:t xml:space="preserve">  </w:t>
      </w:r>
    </w:p>
    <w:p w14:paraId="33724B01" w14:textId="77777777" w:rsidR="00EB5DFF" w:rsidRDefault="000706C0" w:rsidP="005F3F84">
      <w:pPr>
        <w:pStyle w:val="TOC2"/>
        <w:rPr>
          <w:rStyle w:val="Hyperlink"/>
          <w:color w:val="auto"/>
          <w:u w:val="none"/>
        </w:rPr>
      </w:pPr>
      <w:r w:rsidRPr="00FD585A">
        <w:rPr>
          <w:rStyle w:val="Hyperlink"/>
          <w:color w:val="auto"/>
          <w:u w:val="none"/>
        </w:rPr>
        <w:t xml:space="preserve">Appendix </w:t>
      </w:r>
      <w:r>
        <w:rPr>
          <w:rStyle w:val="Hyperlink"/>
          <w:color w:val="auto"/>
          <w:u w:val="none"/>
        </w:rPr>
        <w:t>5</w:t>
      </w:r>
      <w:r w:rsidRPr="00FD585A">
        <w:rPr>
          <w:rStyle w:val="Hyperlink"/>
          <w:color w:val="auto"/>
          <w:u w:val="none"/>
        </w:rPr>
        <w:t>.</w:t>
      </w:r>
      <w:r>
        <w:rPr>
          <w:rStyle w:val="Hyperlink"/>
          <w:color w:val="auto"/>
          <w:u w:val="none"/>
        </w:rPr>
        <w:t>2</w:t>
      </w:r>
      <w:r>
        <w:rPr>
          <w:rStyle w:val="Hyperlink"/>
          <w:color w:val="auto"/>
          <w:u w:val="none"/>
        </w:rPr>
        <w:tab/>
      </w:r>
      <w:r w:rsidR="00BF4812" w:rsidRPr="00BF4812">
        <w:t>Risk by Payer by Risk-bearing</w:t>
      </w:r>
      <w:r w:rsidR="00BF4812">
        <w:rPr>
          <w:b/>
          <w:bCs/>
        </w:rPr>
        <w:t xml:space="preserve"> </w:t>
      </w:r>
      <w:r w:rsidR="00BF4812" w:rsidRPr="00BF4812">
        <w:t>Entity</w:t>
      </w:r>
      <w:r w:rsidR="00BF4812">
        <w:rPr>
          <w:rStyle w:val="Hyperlink"/>
          <w:color w:val="auto"/>
          <w:u w:val="none"/>
        </w:rPr>
        <w:t xml:space="preserve"> </w:t>
      </w:r>
    </w:p>
    <w:p w14:paraId="6DA11D74" w14:textId="6AB817B4" w:rsidR="00EB5DFF" w:rsidRPr="00EB5DFF" w:rsidRDefault="00EB5DFF" w:rsidP="005F3F84">
      <w:pPr>
        <w:pStyle w:val="TOC2"/>
      </w:pPr>
      <w:r w:rsidRPr="00EB5DFF">
        <w:t>Appendix 5.3, Shared Savings and Losses</w:t>
      </w:r>
    </w:p>
    <w:p w14:paraId="4603F8E2" w14:textId="3E717B28" w:rsidR="0008681A" w:rsidRPr="00FD585A" w:rsidRDefault="0000215E" w:rsidP="005F3F84">
      <w:pPr>
        <w:pStyle w:val="TOC2"/>
        <w:rPr>
          <w:rStyle w:val="Hyperlink"/>
          <w:color w:val="auto"/>
          <w:u w:val="none"/>
        </w:rPr>
      </w:pPr>
      <w:r>
        <w:rPr>
          <w:rStyle w:val="Hyperlink"/>
          <w:color w:val="auto"/>
          <w:u w:val="none"/>
        </w:rPr>
        <w:t xml:space="preserve">Appendix </w:t>
      </w:r>
      <w:r w:rsidR="00CE2511">
        <w:rPr>
          <w:rStyle w:val="Hyperlink"/>
          <w:color w:val="auto"/>
          <w:u w:val="none"/>
        </w:rPr>
        <w:t>6.</w:t>
      </w:r>
      <w:r w:rsidRPr="00FD585A">
        <w:rPr>
          <w:rStyle w:val="Hyperlink"/>
          <w:color w:val="auto"/>
          <w:u w:val="none"/>
        </w:rPr>
        <w:t>1</w:t>
      </w:r>
      <w:r>
        <w:rPr>
          <w:rStyle w:val="Hyperlink"/>
          <w:color w:val="auto"/>
          <w:u w:val="none"/>
        </w:rPr>
        <w:t xml:space="preserve"> </w:t>
      </w:r>
      <w:r>
        <w:rPr>
          <w:rStyle w:val="Hyperlink"/>
          <w:color w:val="auto"/>
          <w:u w:val="none"/>
        </w:rPr>
        <w:tab/>
      </w:r>
      <w:r w:rsidR="00FD585A" w:rsidRPr="00FD585A">
        <w:rPr>
          <w:rStyle w:val="Hyperlink"/>
          <w:color w:val="auto"/>
          <w:u w:val="none"/>
        </w:rPr>
        <w:t>Balance Sheet</w:t>
      </w:r>
      <w:r w:rsidR="00F706F9">
        <w:rPr>
          <w:rStyle w:val="Hyperlink"/>
          <w:color w:val="auto"/>
          <w:u w:val="none"/>
        </w:rPr>
        <w:t xml:space="preserve"> </w:t>
      </w:r>
      <w:r w:rsidR="00F706F9" w:rsidRPr="00E55893">
        <w:rPr>
          <w:rStyle w:val="Hyperlink"/>
          <w:color w:val="auto"/>
          <w:u w:val="none"/>
        </w:rPr>
        <w:t>(In Adpative: A2-Balance Sheet)</w:t>
      </w:r>
      <w:r w:rsidR="00FD585A" w:rsidRPr="00FD585A">
        <w:rPr>
          <w:rStyle w:val="Hyperlink"/>
          <w:color w:val="auto"/>
          <w:u w:val="none"/>
        </w:rPr>
        <w:t xml:space="preserve"> </w:t>
      </w:r>
    </w:p>
    <w:p w14:paraId="6B169413" w14:textId="223E8A4F" w:rsidR="0008681A" w:rsidRPr="00FD585A" w:rsidRDefault="0000215E" w:rsidP="005F3F84">
      <w:pPr>
        <w:pStyle w:val="TOC2"/>
        <w:rPr>
          <w:rStyle w:val="Hyperlink"/>
          <w:color w:val="auto"/>
          <w:u w:val="none"/>
        </w:rPr>
      </w:pPr>
      <w:r>
        <w:rPr>
          <w:rStyle w:val="Hyperlink"/>
          <w:color w:val="auto"/>
          <w:u w:val="none"/>
        </w:rPr>
        <w:lastRenderedPageBreak/>
        <w:t xml:space="preserve">Appendix </w:t>
      </w:r>
      <w:r w:rsidR="00CE2511">
        <w:rPr>
          <w:rStyle w:val="Hyperlink"/>
          <w:color w:val="auto"/>
          <w:u w:val="none"/>
        </w:rPr>
        <w:t>6</w:t>
      </w:r>
      <w:r w:rsidRPr="00FD585A">
        <w:rPr>
          <w:rStyle w:val="Hyperlink"/>
          <w:color w:val="auto"/>
          <w:u w:val="none"/>
        </w:rPr>
        <w:t>.2</w:t>
      </w:r>
      <w:r>
        <w:rPr>
          <w:rStyle w:val="Hyperlink"/>
          <w:color w:val="auto"/>
          <w:u w:val="none"/>
        </w:rPr>
        <w:tab/>
      </w:r>
      <w:r w:rsidR="00FD585A" w:rsidRPr="00FD585A">
        <w:rPr>
          <w:rStyle w:val="Hyperlink"/>
          <w:color w:val="auto"/>
          <w:u w:val="none"/>
        </w:rPr>
        <w:t>Income Statement</w:t>
      </w:r>
      <w:r w:rsidR="00F706F9">
        <w:rPr>
          <w:rStyle w:val="Hyperlink"/>
          <w:color w:val="auto"/>
          <w:u w:val="none"/>
        </w:rPr>
        <w:t xml:space="preserve"> </w:t>
      </w:r>
      <w:r w:rsidR="00F706F9">
        <w:rPr>
          <w:rStyle w:val="Hyperlink"/>
          <w:i/>
          <w:color w:val="auto"/>
          <w:u w:val="none"/>
        </w:rPr>
        <w:t>(In Adaptive: A1a-</w:t>
      </w:r>
      <w:r w:rsidR="003F2AA4">
        <w:rPr>
          <w:rStyle w:val="Hyperlink"/>
          <w:i/>
          <w:color w:val="auto"/>
          <w:u w:val="none"/>
        </w:rPr>
        <w:t>Income Statement (All Accounts); A1b-Income Statement (Excl. Pass-Thru)</w:t>
      </w:r>
      <w:r w:rsidR="00FD585A" w:rsidRPr="00FD585A">
        <w:rPr>
          <w:rStyle w:val="Hyperlink"/>
          <w:color w:val="auto"/>
          <w:u w:val="none"/>
        </w:rPr>
        <w:t xml:space="preserve"> </w:t>
      </w:r>
    </w:p>
    <w:p w14:paraId="15F1D6F1" w14:textId="1C6D6C69" w:rsidR="0008681A" w:rsidRPr="00FD585A" w:rsidRDefault="0000215E" w:rsidP="005F3F84">
      <w:pPr>
        <w:pStyle w:val="TOC2"/>
        <w:rPr>
          <w:rStyle w:val="Hyperlink"/>
          <w:color w:val="auto"/>
          <w:u w:val="none"/>
        </w:rPr>
      </w:pPr>
      <w:r>
        <w:rPr>
          <w:rStyle w:val="Hyperlink"/>
          <w:color w:val="auto"/>
          <w:u w:val="none"/>
        </w:rPr>
        <w:t xml:space="preserve">Appendix </w:t>
      </w:r>
      <w:r w:rsidR="00CE2511">
        <w:rPr>
          <w:rStyle w:val="Hyperlink"/>
          <w:color w:val="auto"/>
          <w:u w:val="none"/>
        </w:rPr>
        <w:t>6</w:t>
      </w:r>
      <w:r w:rsidRPr="00FD585A">
        <w:rPr>
          <w:rStyle w:val="Hyperlink"/>
          <w:color w:val="auto"/>
          <w:u w:val="none"/>
        </w:rPr>
        <w:t>.3</w:t>
      </w:r>
      <w:r>
        <w:rPr>
          <w:rStyle w:val="Hyperlink"/>
          <w:color w:val="auto"/>
          <w:u w:val="none"/>
        </w:rPr>
        <w:tab/>
      </w:r>
      <w:r w:rsidR="00FD585A" w:rsidRPr="00FD585A">
        <w:rPr>
          <w:rStyle w:val="Hyperlink"/>
          <w:color w:val="auto"/>
          <w:u w:val="none"/>
        </w:rPr>
        <w:t>Cash Flow</w:t>
      </w:r>
      <w:r w:rsidR="003F2AA4">
        <w:rPr>
          <w:rStyle w:val="Hyperlink"/>
          <w:color w:val="auto"/>
          <w:u w:val="none"/>
        </w:rPr>
        <w:t xml:space="preserve"> </w:t>
      </w:r>
      <w:r w:rsidR="003F2AA4">
        <w:rPr>
          <w:rStyle w:val="Hyperlink"/>
          <w:i/>
          <w:color w:val="auto"/>
          <w:u w:val="none"/>
        </w:rPr>
        <w:t>(In Adaptive: A3-Cash Flow)</w:t>
      </w:r>
      <w:r w:rsidR="00FD585A" w:rsidRPr="00FD585A">
        <w:rPr>
          <w:rStyle w:val="Hyperlink"/>
          <w:color w:val="auto"/>
          <w:u w:val="none"/>
        </w:rPr>
        <w:t xml:space="preserve"> </w:t>
      </w:r>
    </w:p>
    <w:p w14:paraId="6169ECB6" w14:textId="033E9AD8" w:rsidR="009D19B4" w:rsidRDefault="0000215E" w:rsidP="005F3F84">
      <w:pPr>
        <w:pStyle w:val="TOC2"/>
        <w:rPr>
          <w:rStyle w:val="Hyperlink"/>
          <w:color w:val="auto"/>
          <w:u w:val="none"/>
        </w:rPr>
      </w:pPr>
      <w:r>
        <w:rPr>
          <w:rStyle w:val="Hyperlink"/>
          <w:color w:val="auto"/>
          <w:u w:val="none"/>
        </w:rPr>
        <w:t xml:space="preserve">Appendix </w:t>
      </w:r>
      <w:r w:rsidR="00CE2511">
        <w:rPr>
          <w:rStyle w:val="Hyperlink"/>
          <w:color w:val="auto"/>
          <w:u w:val="none"/>
        </w:rPr>
        <w:t>6</w:t>
      </w:r>
      <w:r w:rsidRPr="00FD585A">
        <w:rPr>
          <w:rStyle w:val="Hyperlink"/>
          <w:color w:val="auto"/>
          <w:u w:val="none"/>
        </w:rPr>
        <w:t>.4</w:t>
      </w:r>
      <w:r>
        <w:rPr>
          <w:rStyle w:val="Hyperlink"/>
          <w:color w:val="auto"/>
          <w:u w:val="none"/>
        </w:rPr>
        <w:tab/>
      </w:r>
      <w:r w:rsidR="009D19B4" w:rsidRPr="009D19B4">
        <w:t>Sources and Uses</w:t>
      </w:r>
    </w:p>
    <w:p w14:paraId="72989CAA" w14:textId="6323BC46" w:rsidR="0008681A" w:rsidRPr="00FD585A" w:rsidRDefault="0000215E" w:rsidP="005F3F84">
      <w:pPr>
        <w:pStyle w:val="TOC2"/>
        <w:rPr>
          <w:rStyle w:val="Hyperlink"/>
          <w:color w:val="auto"/>
          <w:u w:val="none"/>
        </w:rPr>
      </w:pPr>
      <w:r>
        <w:rPr>
          <w:rStyle w:val="Hyperlink"/>
          <w:color w:val="auto"/>
          <w:u w:val="none"/>
        </w:rPr>
        <w:t xml:space="preserve">Appendix </w:t>
      </w:r>
      <w:r w:rsidR="00CE2511">
        <w:rPr>
          <w:rStyle w:val="Hyperlink"/>
          <w:color w:val="auto"/>
          <w:u w:val="none"/>
        </w:rPr>
        <w:t>6</w:t>
      </w:r>
      <w:r w:rsidRPr="00FD585A">
        <w:rPr>
          <w:rStyle w:val="Hyperlink"/>
          <w:color w:val="auto"/>
          <w:u w:val="none"/>
        </w:rPr>
        <w:t>.5</w:t>
      </w:r>
      <w:r>
        <w:rPr>
          <w:rStyle w:val="Hyperlink"/>
          <w:color w:val="auto"/>
          <w:u w:val="none"/>
        </w:rPr>
        <w:tab/>
      </w:r>
      <w:r w:rsidR="009D19B4" w:rsidRPr="009D19B4">
        <w:t>Per Member Per Month Revenues by Payer</w:t>
      </w:r>
    </w:p>
    <w:p w14:paraId="0D337D15" w14:textId="41F61765" w:rsidR="00F83AD2" w:rsidRDefault="0000215E" w:rsidP="005F3F84">
      <w:pPr>
        <w:pStyle w:val="TOC2"/>
      </w:pPr>
      <w:r>
        <w:rPr>
          <w:rStyle w:val="Hyperlink"/>
          <w:color w:val="auto"/>
          <w:u w:val="none"/>
        </w:rPr>
        <w:t>Appendi</w:t>
      </w:r>
      <w:r w:rsidR="00F83AD2">
        <w:rPr>
          <w:rStyle w:val="Hyperlink"/>
          <w:color w:val="auto"/>
          <w:u w:val="none"/>
        </w:rPr>
        <w:t>x</w:t>
      </w:r>
      <w:r>
        <w:rPr>
          <w:rStyle w:val="Hyperlink"/>
          <w:color w:val="auto"/>
          <w:u w:val="none"/>
        </w:rPr>
        <w:t xml:space="preserve"> </w:t>
      </w:r>
      <w:r w:rsidR="00CE2511">
        <w:rPr>
          <w:rStyle w:val="Hyperlink"/>
          <w:color w:val="auto"/>
          <w:u w:val="none"/>
        </w:rPr>
        <w:t>6</w:t>
      </w:r>
      <w:r w:rsidRPr="00FD585A">
        <w:rPr>
          <w:rStyle w:val="Hyperlink"/>
          <w:color w:val="auto"/>
          <w:u w:val="none"/>
        </w:rPr>
        <w:t>.</w:t>
      </w:r>
      <w:r w:rsidR="006C34EA">
        <w:rPr>
          <w:rStyle w:val="Hyperlink"/>
          <w:color w:val="auto"/>
          <w:u w:val="none"/>
        </w:rPr>
        <w:t>6</w:t>
      </w:r>
      <w:r>
        <w:rPr>
          <w:rStyle w:val="Hyperlink"/>
          <w:color w:val="auto"/>
          <w:u w:val="none"/>
        </w:rPr>
        <w:tab/>
      </w:r>
      <w:r w:rsidR="00F83AD2" w:rsidRPr="00F83AD2">
        <w:t>ACO 202</w:t>
      </w:r>
      <w:r w:rsidR="005F3F84">
        <w:t>1</w:t>
      </w:r>
      <w:r w:rsidR="00F83AD2" w:rsidRPr="00F83AD2">
        <w:t xml:space="preserve"> Budget Submission Reporting APM for Participating Hospitals </w:t>
      </w:r>
    </w:p>
    <w:p w14:paraId="7E998875" w14:textId="6BC7CE1C" w:rsidR="00F83AD2" w:rsidRPr="00F83AD2" w:rsidRDefault="00F83AD2" w:rsidP="005F3F84">
      <w:pPr>
        <w:pStyle w:val="TOC2"/>
        <w:rPr>
          <w:b/>
        </w:rPr>
      </w:pPr>
      <w:r w:rsidRPr="00F83AD2">
        <w:t xml:space="preserve">Appendix 6.7 </w:t>
      </w:r>
      <w:r>
        <w:t xml:space="preserve">  </w:t>
      </w:r>
      <w:r w:rsidRPr="00F83AD2">
        <w:t>ACO Management Compensation</w:t>
      </w:r>
      <w:r>
        <w:rPr>
          <w:b/>
        </w:rPr>
        <w:t xml:space="preserve"> </w:t>
      </w:r>
    </w:p>
    <w:p w14:paraId="4EB44A18" w14:textId="7EE4B938" w:rsidR="0008681A" w:rsidRPr="0008681A" w:rsidRDefault="0000215E" w:rsidP="005F3F84">
      <w:pPr>
        <w:pStyle w:val="TOC2"/>
        <w:rPr>
          <w:rStyle w:val="Hyperlink"/>
          <w:color w:val="auto"/>
          <w:u w:val="none"/>
        </w:rPr>
      </w:pPr>
      <w:r w:rsidRPr="00FD585A">
        <w:rPr>
          <w:rStyle w:val="Hyperlink"/>
          <w:color w:val="auto"/>
          <w:u w:val="none"/>
        </w:rPr>
        <w:t xml:space="preserve">Appendix </w:t>
      </w:r>
      <w:r w:rsidR="00CE2511">
        <w:rPr>
          <w:rStyle w:val="Hyperlink"/>
          <w:color w:val="auto"/>
          <w:u w:val="none"/>
        </w:rPr>
        <w:t>7</w:t>
      </w:r>
      <w:r w:rsidRPr="00FD585A">
        <w:rPr>
          <w:rStyle w:val="Hyperlink"/>
          <w:color w:val="auto"/>
          <w:u w:val="none"/>
        </w:rPr>
        <w:t>.1</w:t>
      </w:r>
      <w:r>
        <w:rPr>
          <w:rStyle w:val="Hyperlink"/>
          <w:color w:val="auto"/>
          <w:u w:val="none"/>
        </w:rPr>
        <w:tab/>
      </w:r>
      <w:r w:rsidR="0008681A" w:rsidRPr="00FD585A">
        <w:rPr>
          <w:rStyle w:val="Hyperlink"/>
          <w:color w:val="auto"/>
          <w:u w:val="none"/>
        </w:rPr>
        <w:t>ACO Clinical Priority Areas</w:t>
      </w:r>
    </w:p>
    <w:p w14:paraId="72DBF590" w14:textId="77777777" w:rsidR="005F3F84" w:rsidRPr="005F3F84" w:rsidRDefault="0000215E" w:rsidP="005F3F84">
      <w:pPr>
        <w:pStyle w:val="TOC2"/>
      </w:pPr>
      <w:r w:rsidRPr="0008681A">
        <w:rPr>
          <w:rStyle w:val="Hyperlink"/>
          <w:color w:val="auto"/>
          <w:u w:val="none"/>
        </w:rPr>
        <w:t xml:space="preserve">Appendix </w:t>
      </w:r>
      <w:r w:rsidR="00CE2511">
        <w:rPr>
          <w:rStyle w:val="Hyperlink"/>
          <w:color w:val="auto"/>
          <w:u w:val="none"/>
        </w:rPr>
        <w:t>7</w:t>
      </w:r>
      <w:r w:rsidRPr="0008681A">
        <w:rPr>
          <w:rStyle w:val="Hyperlink"/>
          <w:color w:val="auto"/>
          <w:u w:val="none"/>
        </w:rPr>
        <w:t>.2</w:t>
      </w:r>
      <w:r>
        <w:rPr>
          <w:rStyle w:val="Hyperlink"/>
          <w:color w:val="auto"/>
          <w:u w:val="none"/>
        </w:rPr>
        <w:tab/>
      </w:r>
      <w:r w:rsidR="005F3F84" w:rsidRPr="005F3F84">
        <w:t xml:space="preserve">Population Health and Payment Reform Details </w:t>
      </w:r>
    </w:p>
    <w:p w14:paraId="25D9AB6E" w14:textId="3728D9E6" w:rsidR="0008681A" w:rsidRPr="0008681A" w:rsidRDefault="0000215E" w:rsidP="005F3F84">
      <w:pPr>
        <w:pStyle w:val="TOC2"/>
        <w:rPr>
          <w:rStyle w:val="Hyperlink"/>
          <w:color w:val="auto"/>
          <w:u w:val="none"/>
        </w:rPr>
      </w:pPr>
      <w:r w:rsidRPr="0008681A">
        <w:rPr>
          <w:rStyle w:val="Hyperlink"/>
          <w:color w:val="auto"/>
          <w:u w:val="none"/>
        </w:rPr>
        <w:t xml:space="preserve">Appendix </w:t>
      </w:r>
      <w:r w:rsidR="00CE2511">
        <w:rPr>
          <w:rStyle w:val="Hyperlink"/>
          <w:color w:val="auto"/>
          <w:u w:val="none"/>
        </w:rPr>
        <w:t>7</w:t>
      </w:r>
      <w:r w:rsidRPr="0008681A">
        <w:rPr>
          <w:rStyle w:val="Hyperlink"/>
          <w:color w:val="auto"/>
          <w:u w:val="none"/>
        </w:rPr>
        <w:t>.3</w:t>
      </w:r>
      <w:r>
        <w:rPr>
          <w:rStyle w:val="Hyperlink"/>
          <w:color w:val="auto"/>
          <w:u w:val="none"/>
        </w:rPr>
        <w:tab/>
      </w:r>
      <w:r w:rsidR="005F3F84">
        <w:rPr>
          <w:rStyle w:val="Hyperlink"/>
          <w:color w:val="auto"/>
          <w:u w:val="none"/>
        </w:rPr>
        <w:t>ACO Population Risk Stratification Summary Analysis</w:t>
      </w:r>
    </w:p>
    <w:p w14:paraId="4E54477A" w14:textId="77777777" w:rsidR="005F3F84" w:rsidRDefault="0000215E" w:rsidP="005F3F84">
      <w:pPr>
        <w:pStyle w:val="TOC2"/>
        <w:rPr>
          <w:rStyle w:val="Hyperlink"/>
          <w:color w:val="auto"/>
          <w:u w:val="none"/>
        </w:rPr>
      </w:pPr>
      <w:r w:rsidRPr="0008681A">
        <w:rPr>
          <w:rStyle w:val="Hyperlink"/>
          <w:color w:val="auto"/>
          <w:u w:val="none"/>
        </w:rPr>
        <w:t xml:space="preserve">Appendix </w:t>
      </w:r>
      <w:r w:rsidR="00CE2511">
        <w:rPr>
          <w:rStyle w:val="Hyperlink"/>
          <w:color w:val="auto"/>
          <w:u w:val="none"/>
        </w:rPr>
        <w:t>7</w:t>
      </w:r>
      <w:r w:rsidRPr="0008681A">
        <w:rPr>
          <w:rStyle w:val="Hyperlink"/>
          <w:color w:val="auto"/>
          <w:u w:val="none"/>
        </w:rPr>
        <w:t>.4</w:t>
      </w:r>
      <w:r>
        <w:rPr>
          <w:rStyle w:val="Hyperlink"/>
          <w:color w:val="auto"/>
          <w:u w:val="none"/>
        </w:rPr>
        <w:tab/>
      </w:r>
      <w:r w:rsidR="005F3F84">
        <w:rPr>
          <w:rStyle w:val="Hyperlink"/>
          <w:color w:val="auto"/>
          <w:u w:val="none"/>
        </w:rPr>
        <w:t xml:space="preserve">CareNavigator </w:t>
      </w:r>
    </w:p>
    <w:p w14:paraId="5D4B903B" w14:textId="77777777" w:rsidR="005F3F84" w:rsidRDefault="005F3F84" w:rsidP="005F3F84">
      <w:pPr>
        <w:pStyle w:val="TOC2"/>
        <w:rPr>
          <w:rStyle w:val="Hyperlink"/>
          <w:color w:val="auto"/>
          <w:u w:val="none"/>
        </w:rPr>
      </w:pPr>
      <w:r>
        <w:rPr>
          <w:rStyle w:val="Hyperlink"/>
          <w:color w:val="auto"/>
          <w:u w:val="none"/>
        </w:rPr>
        <w:t xml:space="preserve">Appendix 7.5   Care Coordination by HSA </w:t>
      </w:r>
    </w:p>
    <w:p w14:paraId="4CC91369" w14:textId="4BBCEF5E" w:rsidR="005F3F84" w:rsidRPr="005F3F84" w:rsidRDefault="005F3F84" w:rsidP="005F3F84">
      <w:pPr>
        <w:pStyle w:val="TOC2"/>
      </w:pPr>
      <w:r>
        <w:rPr>
          <w:rStyle w:val="Hyperlink"/>
          <w:color w:val="auto"/>
          <w:u w:val="none"/>
        </w:rPr>
        <w:t>Appendix 7.6   Care Coordination by Risk Level</w:t>
      </w:r>
    </w:p>
    <w:p w14:paraId="6E59D334" w14:textId="77777777" w:rsidR="005F3F84" w:rsidRDefault="005F3F84" w:rsidP="005F3F84">
      <w:pPr>
        <w:pStyle w:val="TOC2"/>
      </w:pPr>
      <w:r w:rsidRPr="005F3F84">
        <w:t>Appendix 7.7</w:t>
      </w:r>
      <w:r>
        <w:t xml:space="preserve">  </w:t>
      </w:r>
      <w:r w:rsidRPr="005F3F84">
        <w:t xml:space="preserve"> ACO Activities related to the Vermont All-Payer Model ACO Agreement Population </w:t>
      </w:r>
    </w:p>
    <w:p w14:paraId="37CD2A04" w14:textId="070866DC" w:rsidR="00EE70A8" w:rsidRPr="005F3F84" w:rsidRDefault="005F3F84" w:rsidP="005F3F84">
      <w:pPr>
        <w:pStyle w:val="TOC2"/>
      </w:pPr>
      <w:r>
        <w:tab/>
      </w:r>
      <w:r w:rsidRPr="005F3F84">
        <w:t xml:space="preserve">Health and Quality Goals </w:t>
      </w:r>
      <w:r w:rsidR="00EE70A8" w:rsidRPr="005F3F84">
        <w:rPr>
          <w:sz w:val="2"/>
          <w:szCs w:val="2"/>
        </w:rPr>
        <w:br w:type="page"/>
      </w:r>
    </w:p>
    <w:p w14:paraId="73E718DF" w14:textId="270FB172" w:rsidR="00C8656D" w:rsidRDefault="00EE70A8" w:rsidP="008A6236">
      <w:pPr>
        <w:pStyle w:val="Heading1"/>
        <w:spacing w:after="0" w:line="240" w:lineRule="auto"/>
        <w:jc w:val="center"/>
      </w:pPr>
      <w:bookmarkStart w:id="1" w:name="_Hlk488663724"/>
      <w:bookmarkStart w:id="2" w:name="_Toc42002456"/>
      <w:r>
        <w:lastRenderedPageBreak/>
        <w:t xml:space="preserve">TIMELINE FOR </w:t>
      </w:r>
      <w:r w:rsidR="00443AE7">
        <w:t xml:space="preserve">FY </w:t>
      </w:r>
      <w:r w:rsidR="00362DE1">
        <w:t xml:space="preserve">2021 </w:t>
      </w:r>
      <w:r>
        <w:t>BUDGET SUBMISSION</w:t>
      </w:r>
      <w:bookmarkEnd w:id="2"/>
    </w:p>
    <w:p w14:paraId="518A77F8" w14:textId="237FA636" w:rsidR="00EE70A8" w:rsidRPr="00AB2ECF" w:rsidRDefault="00C8656D" w:rsidP="008A6236">
      <w:pPr>
        <w:jc w:val="center"/>
      </w:pPr>
      <w:r>
        <w:t>(</w:t>
      </w:r>
      <w:r w:rsidR="00EE70A8">
        <w:t>subject to change</w:t>
      </w:r>
      <w:r>
        <w:t>)</w:t>
      </w:r>
    </w:p>
    <w:bookmarkEnd w:id="1"/>
    <w:p w14:paraId="31B80C9E" w14:textId="04DC29EE" w:rsidR="00EE70A8" w:rsidRDefault="00EE70A8" w:rsidP="0008681A">
      <w:pPr>
        <w:spacing w:after="200"/>
      </w:pPr>
    </w:p>
    <w:tbl>
      <w:tblPr>
        <w:tblStyle w:val="GridTable1Light-Accent1"/>
        <w:tblW w:w="10051" w:type="dxa"/>
        <w:jc w:val="center"/>
        <w:tblLook w:val="0420" w:firstRow="1" w:lastRow="0" w:firstColumn="0" w:lastColumn="0" w:noHBand="0" w:noVBand="1"/>
      </w:tblPr>
      <w:tblGrid>
        <w:gridCol w:w="5624"/>
        <w:gridCol w:w="4427"/>
      </w:tblGrid>
      <w:tr w:rsidR="0067165D" w14:paraId="5BEB6787" w14:textId="753F6D70" w:rsidTr="00EC5004">
        <w:trPr>
          <w:cnfStyle w:val="100000000000" w:firstRow="1" w:lastRow="0" w:firstColumn="0" w:lastColumn="0" w:oddVBand="0" w:evenVBand="0" w:oddHBand="0" w:evenHBand="0" w:firstRowFirstColumn="0" w:firstRowLastColumn="0" w:lastRowFirstColumn="0" w:lastRowLastColumn="0"/>
          <w:trHeight w:val="352"/>
          <w:jc w:val="center"/>
        </w:trPr>
        <w:tc>
          <w:tcPr>
            <w:tcW w:w="5624" w:type="dxa"/>
            <w:vAlign w:val="bottom"/>
          </w:tcPr>
          <w:p w14:paraId="3E6FA3CB" w14:textId="18970C27" w:rsidR="0067165D" w:rsidRPr="00716928" w:rsidRDefault="0067165D" w:rsidP="00EC5004">
            <w:pPr>
              <w:spacing w:after="200"/>
              <w:rPr>
                <w:b w:val="0"/>
                <w:bCs w:val="0"/>
              </w:rPr>
            </w:pPr>
            <w:r>
              <w:t>Budget Oversight Activity</w:t>
            </w:r>
          </w:p>
        </w:tc>
        <w:tc>
          <w:tcPr>
            <w:tcW w:w="4427" w:type="dxa"/>
            <w:vAlign w:val="center"/>
          </w:tcPr>
          <w:p w14:paraId="33BF5333" w14:textId="6D15ECD4" w:rsidR="0067165D" w:rsidRDefault="009E1BC0" w:rsidP="00EC5004">
            <w:pPr>
              <w:spacing w:after="200"/>
              <w:jc w:val="center"/>
            </w:pPr>
            <w:r>
              <w:t xml:space="preserve">Due </w:t>
            </w:r>
            <w:r w:rsidR="0067165D">
              <w:t>Date</w:t>
            </w:r>
          </w:p>
        </w:tc>
      </w:tr>
      <w:tr w:rsidR="0067165D" w14:paraId="658BC84B" w14:textId="67531CE8" w:rsidTr="00D565B0">
        <w:trPr>
          <w:trHeight w:val="757"/>
          <w:jc w:val="center"/>
        </w:trPr>
        <w:tc>
          <w:tcPr>
            <w:tcW w:w="5624" w:type="dxa"/>
            <w:vAlign w:val="center"/>
          </w:tcPr>
          <w:p w14:paraId="1D050B36" w14:textId="75599D1D" w:rsidR="0067165D" w:rsidRDefault="0067165D" w:rsidP="00D565B0">
            <w:pPr>
              <w:spacing w:after="200"/>
            </w:pPr>
            <w:r>
              <w:t>GMCB issues FY 2021 ACO Budget Guidance</w:t>
            </w:r>
          </w:p>
        </w:tc>
        <w:tc>
          <w:tcPr>
            <w:tcW w:w="4427" w:type="dxa"/>
            <w:vAlign w:val="center"/>
          </w:tcPr>
          <w:p w14:paraId="483412F4" w14:textId="3252E8D5" w:rsidR="0067165D" w:rsidRDefault="0067165D" w:rsidP="00D565B0">
            <w:pPr>
              <w:spacing w:after="200"/>
              <w:jc w:val="center"/>
            </w:pPr>
            <w:r>
              <w:t>On o</w:t>
            </w:r>
            <w:r w:rsidR="009E1BC0">
              <w:t>r</w:t>
            </w:r>
            <w:r>
              <w:t xml:space="preserve"> before July 1, 2020</w:t>
            </w:r>
          </w:p>
        </w:tc>
      </w:tr>
      <w:tr w:rsidR="0067165D" w14:paraId="33F9D18E" w14:textId="5D77D0C0" w:rsidTr="00D565B0">
        <w:trPr>
          <w:trHeight w:val="757"/>
          <w:jc w:val="center"/>
        </w:trPr>
        <w:tc>
          <w:tcPr>
            <w:tcW w:w="5624" w:type="dxa"/>
            <w:vAlign w:val="center"/>
          </w:tcPr>
          <w:p w14:paraId="3353E15F" w14:textId="5CA0F1BE" w:rsidR="0067165D" w:rsidRDefault="0067165D" w:rsidP="00D565B0">
            <w:pPr>
              <w:spacing w:after="200"/>
            </w:pPr>
            <w:r>
              <w:t>ACO submits FY 2021 Budget to GMCB</w:t>
            </w:r>
          </w:p>
        </w:tc>
        <w:tc>
          <w:tcPr>
            <w:tcW w:w="4427" w:type="dxa"/>
            <w:vAlign w:val="center"/>
          </w:tcPr>
          <w:p w14:paraId="27418A93" w14:textId="2E6804A4" w:rsidR="0067165D" w:rsidRDefault="0067165D" w:rsidP="00D565B0">
            <w:pPr>
              <w:spacing w:after="200"/>
              <w:jc w:val="center"/>
            </w:pPr>
            <w:r>
              <w:t>October 1, 2020</w:t>
            </w:r>
          </w:p>
        </w:tc>
      </w:tr>
      <w:tr w:rsidR="0067165D" w14:paraId="2333277E" w14:textId="330DF434" w:rsidTr="00D565B0">
        <w:trPr>
          <w:trHeight w:val="757"/>
          <w:jc w:val="center"/>
        </w:trPr>
        <w:tc>
          <w:tcPr>
            <w:tcW w:w="5624" w:type="dxa"/>
            <w:vAlign w:val="center"/>
          </w:tcPr>
          <w:p w14:paraId="3191032A" w14:textId="7F93546F" w:rsidR="0067165D" w:rsidRDefault="0067165D" w:rsidP="00D565B0">
            <w:pPr>
              <w:spacing w:after="200"/>
            </w:pPr>
            <w:r>
              <w:t>ACO FY 2021 budget hearing*</w:t>
            </w:r>
          </w:p>
        </w:tc>
        <w:tc>
          <w:tcPr>
            <w:tcW w:w="4427" w:type="dxa"/>
            <w:vAlign w:val="center"/>
          </w:tcPr>
          <w:p w14:paraId="6CCB7D6A" w14:textId="6786CF48" w:rsidR="0067165D" w:rsidRDefault="0067165D" w:rsidP="00D565B0">
            <w:pPr>
              <w:spacing w:after="200"/>
              <w:jc w:val="center"/>
            </w:pPr>
            <w:proofErr w:type="gramStart"/>
            <w:r>
              <w:t>October,</w:t>
            </w:r>
            <w:proofErr w:type="gramEnd"/>
            <w:r>
              <w:t xml:space="preserve"> 2020 (TBD)</w:t>
            </w:r>
          </w:p>
        </w:tc>
      </w:tr>
      <w:tr w:rsidR="0067165D" w14:paraId="36C1C87A" w14:textId="1095D2CC" w:rsidTr="00D565B0">
        <w:trPr>
          <w:trHeight w:val="757"/>
          <w:jc w:val="center"/>
        </w:trPr>
        <w:tc>
          <w:tcPr>
            <w:tcW w:w="5624" w:type="dxa"/>
            <w:vAlign w:val="center"/>
          </w:tcPr>
          <w:p w14:paraId="2A707192" w14:textId="1D289D78" w:rsidR="0067165D" w:rsidRDefault="0067165D" w:rsidP="00D565B0">
            <w:pPr>
              <w:spacing w:after="200"/>
            </w:pPr>
            <w:r>
              <w:t>ACO/Payer presentation on 2019 Performance*</w:t>
            </w:r>
          </w:p>
        </w:tc>
        <w:tc>
          <w:tcPr>
            <w:tcW w:w="4427" w:type="dxa"/>
            <w:vAlign w:val="center"/>
          </w:tcPr>
          <w:p w14:paraId="099D9DF5" w14:textId="39CAF6D7" w:rsidR="0067165D" w:rsidRDefault="0067165D" w:rsidP="00D565B0">
            <w:pPr>
              <w:spacing w:after="200"/>
              <w:jc w:val="center"/>
            </w:pPr>
            <w:proofErr w:type="gramStart"/>
            <w:r>
              <w:t>November,</w:t>
            </w:r>
            <w:proofErr w:type="gramEnd"/>
            <w:r>
              <w:t xml:space="preserve"> 2020 (TBD)</w:t>
            </w:r>
          </w:p>
        </w:tc>
      </w:tr>
      <w:tr w:rsidR="0067165D" w14:paraId="30F36C9E" w14:textId="241F89BC" w:rsidTr="00D565B0">
        <w:trPr>
          <w:trHeight w:val="757"/>
          <w:jc w:val="center"/>
        </w:trPr>
        <w:tc>
          <w:tcPr>
            <w:tcW w:w="5624" w:type="dxa"/>
            <w:vAlign w:val="center"/>
          </w:tcPr>
          <w:p w14:paraId="5C9DE8A8" w14:textId="54DFA8D5" w:rsidR="0067165D" w:rsidRDefault="0067165D" w:rsidP="00D565B0">
            <w:pPr>
              <w:spacing w:after="200"/>
            </w:pPr>
            <w:r>
              <w:t>GMCB Staff presentation on FY 2021 Budget analysis and recommendations*</w:t>
            </w:r>
          </w:p>
        </w:tc>
        <w:tc>
          <w:tcPr>
            <w:tcW w:w="4427" w:type="dxa"/>
            <w:vAlign w:val="center"/>
          </w:tcPr>
          <w:p w14:paraId="051697A9" w14:textId="3A6C6F59" w:rsidR="0067165D" w:rsidRDefault="0067165D" w:rsidP="00D565B0">
            <w:pPr>
              <w:spacing w:after="200"/>
              <w:jc w:val="center"/>
            </w:pPr>
            <w:proofErr w:type="gramStart"/>
            <w:r>
              <w:t>December,</w:t>
            </w:r>
            <w:proofErr w:type="gramEnd"/>
            <w:r>
              <w:t xml:space="preserve"> 2020 (TBD)</w:t>
            </w:r>
          </w:p>
        </w:tc>
      </w:tr>
      <w:tr w:rsidR="0067165D" w14:paraId="73B15E73" w14:textId="646EEBA2" w:rsidTr="00D565B0">
        <w:trPr>
          <w:trHeight w:val="757"/>
          <w:jc w:val="center"/>
        </w:trPr>
        <w:tc>
          <w:tcPr>
            <w:tcW w:w="5624" w:type="dxa"/>
            <w:vAlign w:val="center"/>
          </w:tcPr>
          <w:p w14:paraId="1CAB538F" w14:textId="1C2549D4" w:rsidR="0067165D" w:rsidRDefault="0067165D" w:rsidP="00D565B0">
            <w:pPr>
              <w:spacing w:after="200"/>
            </w:pPr>
            <w:r>
              <w:t>Public comment period on ACO budget closes</w:t>
            </w:r>
          </w:p>
        </w:tc>
        <w:tc>
          <w:tcPr>
            <w:tcW w:w="4427" w:type="dxa"/>
            <w:vAlign w:val="center"/>
          </w:tcPr>
          <w:p w14:paraId="48B03CA0" w14:textId="6CF8699E" w:rsidR="0067165D" w:rsidRDefault="0067165D" w:rsidP="00D565B0">
            <w:pPr>
              <w:spacing w:after="200"/>
              <w:jc w:val="center"/>
            </w:pPr>
            <w:proofErr w:type="gramStart"/>
            <w:r>
              <w:t>December,</w:t>
            </w:r>
            <w:proofErr w:type="gramEnd"/>
            <w:r>
              <w:t xml:space="preserve"> 2020 (TBD)</w:t>
            </w:r>
          </w:p>
        </w:tc>
      </w:tr>
      <w:tr w:rsidR="0067165D" w14:paraId="30B3E96B" w14:textId="76BBE758" w:rsidTr="00D565B0">
        <w:trPr>
          <w:trHeight w:val="757"/>
          <w:jc w:val="center"/>
        </w:trPr>
        <w:tc>
          <w:tcPr>
            <w:tcW w:w="5624" w:type="dxa"/>
            <w:vAlign w:val="center"/>
          </w:tcPr>
          <w:p w14:paraId="5DAF7F4F" w14:textId="3A4F8954" w:rsidR="0067165D" w:rsidRDefault="0067165D" w:rsidP="00D565B0">
            <w:pPr>
              <w:spacing w:after="200"/>
            </w:pPr>
            <w:r>
              <w:t>GMCB votes to est. the FY 2021 ACO Budget*</w:t>
            </w:r>
          </w:p>
        </w:tc>
        <w:tc>
          <w:tcPr>
            <w:tcW w:w="4427" w:type="dxa"/>
            <w:vAlign w:val="center"/>
          </w:tcPr>
          <w:p w14:paraId="28CC0339" w14:textId="10F8CCC2" w:rsidR="0067165D" w:rsidRDefault="0067165D" w:rsidP="00D565B0">
            <w:pPr>
              <w:spacing w:after="200"/>
              <w:jc w:val="center"/>
            </w:pPr>
            <w:proofErr w:type="gramStart"/>
            <w:r>
              <w:t>December,</w:t>
            </w:r>
            <w:proofErr w:type="gramEnd"/>
            <w:r>
              <w:t xml:space="preserve"> 2020 (TBD)</w:t>
            </w:r>
          </w:p>
        </w:tc>
      </w:tr>
      <w:tr w:rsidR="0067165D" w14:paraId="5CBDA881" w14:textId="689CECF1" w:rsidTr="00D565B0">
        <w:trPr>
          <w:trHeight w:val="757"/>
          <w:jc w:val="center"/>
        </w:trPr>
        <w:tc>
          <w:tcPr>
            <w:tcW w:w="5624" w:type="dxa"/>
            <w:vAlign w:val="center"/>
          </w:tcPr>
          <w:p w14:paraId="24794E4D" w14:textId="283E4840" w:rsidR="0067165D" w:rsidRDefault="0067165D" w:rsidP="00D565B0">
            <w:pPr>
              <w:spacing w:after="200"/>
            </w:pPr>
            <w:r>
              <w:t>GMCB est. the Medicaid Advisory Rate Case</w:t>
            </w:r>
          </w:p>
        </w:tc>
        <w:tc>
          <w:tcPr>
            <w:tcW w:w="4427" w:type="dxa"/>
            <w:vAlign w:val="center"/>
          </w:tcPr>
          <w:p w14:paraId="799128F2" w14:textId="33D3F9C8" w:rsidR="0067165D" w:rsidRDefault="0067165D" w:rsidP="00D565B0">
            <w:pPr>
              <w:spacing w:after="200"/>
              <w:jc w:val="center"/>
            </w:pPr>
            <w:r>
              <w:t>On or before December, 2020</w:t>
            </w:r>
          </w:p>
        </w:tc>
      </w:tr>
      <w:tr w:rsidR="0067165D" w14:paraId="6C365A25" w14:textId="34FD6253" w:rsidTr="00D565B0">
        <w:trPr>
          <w:trHeight w:val="696"/>
          <w:jc w:val="center"/>
        </w:trPr>
        <w:tc>
          <w:tcPr>
            <w:tcW w:w="5624" w:type="dxa"/>
            <w:vAlign w:val="center"/>
          </w:tcPr>
          <w:p w14:paraId="45446729" w14:textId="5EBB7EF9" w:rsidR="0067165D" w:rsidRDefault="0067165D" w:rsidP="00D565B0">
            <w:pPr>
              <w:spacing w:after="200"/>
            </w:pPr>
            <w:r>
              <w:t>GMCB issues written Budget order to ACO</w:t>
            </w:r>
          </w:p>
        </w:tc>
        <w:tc>
          <w:tcPr>
            <w:tcW w:w="4427" w:type="dxa"/>
            <w:vAlign w:val="center"/>
          </w:tcPr>
          <w:p w14:paraId="122A9BC7" w14:textId="6622362F" w:rsidR="0067165D" w:rsidRDefault="0067165D" w:rsidP="00D565B0">
            <w:pPr>
              <w:spacing w:after="200"/>
              <w:jc w:val="center"/>
            </w:pPr>
            <w:r>
              <w:t>45 days after Board vote on FY 2021 ACO Budget</w:t>
            </w:r>
          </w:p>
        </w:tc>
      </w:tr>
      <w:tr w:rsidR="0067165D" w14:paraId="3DD0C1EA" w14:textId="2C065B07" w:rsidTr="00D565B0">
        <w:trPr>
          <w:trHeight w:val="757"/>
          <w:jc w:val="center"/>
        </w:trPr>
        <w:tc>
          <w:tcPr>
            <w:tcW w:w="5624" w:type="dxa"/>
            <w:vAlign w:val="center"/>
          </w:tcPr>
          <w:p w14:paraId="6EAB545F" w14:textId="546E0403" w:rsidR="0067165D" w:rsidRDefault="0067165D" w:rsidP="00D565B0">
            <w:pPr>
              <w:spacing w:after="200"/>
            </w:pPr>
            <w:r>
              <w:t>ACO presents on final attribution and revised FY 2021 budget after payer contracts final*</w:t>
            </w:r>
          </w:p>
        </w:tc>
        <w:tc>
          <w:tcPr>
            <w:tcW w:w="4427" w:type="dxa"/>
            <w:vAlign w:val="center"/>
          </w:tcPr>
          <w:p w14:paraId="3662A07B" w14:textId="4985A2AF" w:rsidR="0067165D" w:rsidRDefault="0067165D" w:rsidP="00D565B0">
            <w:pPr>
              <w:spacing w:after="200"/>
              <w:jc w:val="center"/>
            </w:pPr>
            <w:r>
              <w:t>Spring 2021</w:t>
            </w:r>
          </w:p>
        </w:tc>
      </w:tr>
      <w:tr w:rsidR="0067165D" w14:paraId="1713A35F" w14:textId="6FBB2448" w:rsidTr="00D565B0">
        <w:trPr>
          <w:trHeight w:val="757"/>
          <w:jc w:val="center"/>
        </w:trPr>
        <w:tc>
          <w:tcPr>
            <w:tcW w:w="5624" w:type="dxa"/>
            <w:vAlign w:val="center"/>
          </w:tcPr>
          <w:p w14:paraId="03C0D0B7" w14:textId="46AB7733" w:rsidR="0067165D" w:rsidRDefault="0067165D" w:rsidP="00D565B0">
            <w:pPr>
              <w:spacing w:after="200"/>
            </w:pPr>
            <w:r>
              <w:t>ACO submits materials required for monitoring of FY 2021 budget</w:t>
            </w:r>
          </w:p>
        </w:tc>
        <w:tc>
          <w:tcPr>
            <w:tcW w:w="4427" w:type="dxa"/>
            <w:vAlign w:val="center"/>
          </w:tcPr>
          <w:p w14:paraId="66A3A155" w14:textId="26BEE5D9" w:rsidR="0067165D" w:rsidRDefault="0067165D" w:rsidP="00D565B0">
            <w:pPr>
              <w:spacing w:after="200"/>
              <w:jc w:val="center"/>
            </w:pPr>
            <w:r>
              <w:t>2021 Ongoing</w:t>
            </w:r>
          </w:p>
        </w:tc>
      </w:tr>
    </w:tbl>
    <w:p w14:paraId="32B350B9" w14:textId="0B435E18" w:rsidR="00F47E9B" w:rsidRDefault="00716928" w:rsidP="0008681A">
      <w:pPr>
        <w:spacing w:after="200"/>
      </w:pPr>
      <w:r>
        <w:t>*Asterix notes board meeting</w:t>
      </w:r>
    </w:p>
    <w:p w14:paraId="67B6DDC8" w14:textId="6973388B" w:rsidR="00F47E9B" w:rsidRDefault="00F47E9B" w:rsidP="0008681A">
      <w:pPr>
        <w:spacing w:after="200"/>
      </w:pPr>
    </w:p>
    <w:p w14:paraId="044D249C" w14:textId="1C56F5FD" w:rsidR="00F47E9B" w:rsidRDefault="00F47E9B" w:rsidP="0008681A">
      <w:pPr>
        <w:spacing w:after="200"/>
      </w:pPr>
    </w:p>
    <w:p w14:paraId="4F27A7D4" w14:textId="39707304" w:rsidR="00F47E9B" w:rsidRDefault="00F47E9B" w:rsidP="0008681A">
      <w:pPr>
        <w:spacing w:after="200"/>
      </w:pPr>
    </w:p>
    <w:p w14:paraId="29F938DF" w14:textId="243116EB" w:rsidR="00F47E9B" w:rsidRDefault="00F47E9B" w:rsidP="0008681A">
      <w:pPr>
        <w:spacing w:after="200"/>
      </w:pPr>
    </w:p>
    <w:p w14:paraId="0A490938" w14:textId="6A952643" w:rsidR="00F47E9B" w:rsidRDefault="00F47E9B" w:rsidP="0008681A">
      <w:pPr>
        <w:spacing w:after="200"/>
      </w:pPr>
    </w:p>
    <w:p w14:paraId="071CB214" w14:textId="6B17A78A" w:rsidR="00EE70A8" w:rsidRPr="00E33893" w:rsidRDefault="00DD2EAB" w:rsidP="0008681A">
      <w:pPr>
        <w:pStyle w:val="Heading1"/>
        <w:spacing w:line="240" w:lineRule="auto"/>
      </w:pPr>
      <w:bookmarkStart w:id="3" w:name="_Toc42002457"/>
      <w:r w:rsidRPr="00DD2EAB">
        <w:lastRenderedPageBreak/>
        <w:t>INTRODUCTION</w:t>
      </w:r>
      <w:bookmarkEnd w:id="3"/>
    </w:p>
    <w:p w14:paraId="10C64DB0" w14:textId="1737EE91" w:rsidR="00D12EE4" w:rsidRPr="00D400FB" w:rsidRDefault="00DD0600" w:rsidP="0008681A">
      <w:r>
        <w:t>This document</w:t>
      </w:r>
      <w:r w:rsidR="00953329">
        <w:t>,</w:t>
      </w:r>
      <w:r w:rsidR="00953329" w:rsidRPr="00953329">
        <w:t xml:space="preserve"> </w:t>
      </w:r>
      <w:r w:rsidR="00953329" w:rsidRPr="001F1369">
        <w:t xml:space="preserve">adopted by the Green Mountain Care Board (GMCB) for Budget Year </w:t>
      </w:r>
      <w:r w:rsidR="00953329">
        <w:t>2021,</w:t>
      </w:r>
      <w:r>
        <w:t xml:space="preserve"> </w:t>
      </w:r>
      <w:r w:rsidR="00046E37">
        <w:t xml:space="preserve">serves to articulate </w:t>
      </w:r>
      <w:r w:rsidR="00EE70A8" w:rsidRPr="001F1369">
        <w:t>Accountable Care Organization</w:t>
      </w:r>
      <w:r w:rsidR="00EE70A8">
        <w:t xml:space="preserve"> </w:t>
      </w:r>
      <w:r w:rsidR="00EE70A8" w:rsidRPr="001F1369">
        <w:t xml:space="preserve">Budget Guidance and Reporting Requirements </w:t>
      </w:r>
      <w:r w:rsidR="00953329">
        <w:t xml:space="preserve">to </w:t>
      </w:r>
      <w:r w:rsidR="00E100D1">
        <w:t xml:space="preserve">the certified Vermont Accountable Care Organization: </w:t>
      </w:r>
      <w:r w:rsidR="00E100D1" w:rsidRPr="00626343">
        <w:rPr>
          <w:b/>
        </w:rPr>
        <w:t>OneCare Vermont ACO, LLC</w:t>
      </w:r>
      <w:r w:rsidR="00E100D1" w:rsidRPr="00D400FB">
        <w:t xml:space="preserve"> (OneCare or ACO)</w:t>
      </w:r>
      <w:r w:rsidR="00EE70A8" w:rsidRPr="001F1369">
        <w:t>.</w:t>
      </w:r>
      <w:r w:rsidR="00EE70A8">
        <w:t xml:space="preserve"> </w:t>
      </w:r>
      <w:r w:rsidR="000C14EE">
        <w:rPr>
          <w:i/>
        </w:rPr>
        <w:t xml:space="preserve">See </w:t>
      </w:r>
      <w:r w:rsidR="000C14EE">
        <w:t>18 V.S.A. § 9382(b); GMCB Rule 5.000.</w:t>
      </w:r>
    </w:p>
    <w:p w14:paraId="72E86009" w14:textId="6F856FDB" w:rsidR="00EE70A8" w:rsidRDefault="00EE70A8" w:rsidP="0008681A">
      <w:r>
        <w:t xml:space="preserve">A certified ACO must maintain its certification in order </w:t>
      </w:r>
      <w:r w:rsidRPr="001F1369">
        <w:t>to receive payments from Vermont Medicaid or a commercial insurer.</w:t>
      </w:r>
      <w:r>
        <w:t xml:space="preserve"> The GMCB will </w:t>
      </w:r>
      <w:r w:rsidR="008E070E">
        <w:t xml:space="preserve">verify </w:t>
      </w:r>
      <w:r>
        <w:t>a certified ACO’s continued eligibility for certification concurrently with its proposed budget.</w:t>
      </w:r>
      <w:r w:rsidR="00114B46">
        <w:t xml:space="preserve"> </w:t>
      </w:r>
      <w:r w:rsidR="00114B46">
        <w:rPr>
          <w:i/>
        </w:rPr>
        <w:t xml:space="preserve">See </w:t>
      </w:r>
      <w:r w:rsidR="00114B46">
        <w:t>18 V.S.A. § 9382(a); GMCB Rule 5.000, § 5.305.</w:t>
      </w:r>
      <w:r>
        <w:t xml:space="preserve"> Certification eligibility guidance will be sent to the ACO under separate cover.</w:t>
      </w:r>
    </w:p>
    <w:p w14:paraId="57F82279" w14:textId="77777777" w:rsidR="0002776C" w:rsidRDefault="0002776C" w:rsidP="0002776C">
      <w:bookmarkStart w:id="4" w:name="_Hlk515881722"/>
      <w:r>
        <w:t>Along with its budget submission, the ACO must submit Verifications Under Oath (forms included with the guidance)</w:t>
      </w:r>
      <w:r>
        <w:rPr>
          <w:bCs/>
        </w:rPr>
        <w:t xml:space="preserve"> signed by the ACO’s chief executive, the ACO’s primary financial officer, and the head of the ACO’s governing body.  </w:t>
      </w:r>
      <w:r>
        <w:rPr>
          <w:bCs/>
          <w:i/>
        </w:rPr>
        <w:t xml:space="preserve">See </w:t>
      </w:r>
      <w:r>
        <w:rPr>
          <w:bCs/>
        </w:rPr>
        <w:t>18 V.S.A. § 9374(i).</w:t>
      </w:r>
      <w:r>
        <w:t xml:space="preserve">  </w:t>
      </w:r>
      <w:r w:rsidRPr="001F1369">
        <w:t xml:space="preserve"> </w:t>
      </w:r>
    </w:p>
    <w:p w14:paraId="7699D764" w14:textId="76E06218" w:rsidR="00EE70A8" w:rsidRPr="00EE70A8" w:rsidRDefault="00EE70A8" w:rsidP="0008681A">
      <w:r w:rsidRPr="00EE70A8">
        <w:t>In accordance with 18 V.S.A. § 9382(b)(3)(A) and GMCB Rule 5.000, §§ 5.105, 5.404(b), the Office of the Health Care Advocate (HCA), which represents the interests of Vermont health care consumers, must receive ACO budget filings and other materials and will participate in the budget review process, including hearings.</w:t>
      </w:r>
      <w:bookmarkEnd w:id="4"/>
      <w:r w:rsidRPr="00EE70A8">
        <w:t xml:space="preserve"> It is the responsibility of the ACO to ensure the HCA receives all </w:t>
      </w:r>
      <w:r w:rsidR="003662E1">
        <w:t>materials</w:t>
      </w:r>
      <w:r w:rsidRPr="00EE70A8">
        <w:t xml:space="preserve"> pertaining to the budget.</w:t>
      </w:r>
    </w:p>
    <w:p w14:paraId="331EDA1B" w14:textId="77777777" w:rsidR="003662E1" w:rsidRPr="00AF27DE" w:rsidRDefault="00DD2EAB" w:rsidP="003662E1">
      <w:bookmarkStart w:id="5" w:name="_Hlk7007850"/>
      <w:r w:rsidRPr="00AF27DE">
        <w:t xml:space="preserve">If the ACO believes materials it provides to the </w:t>
      </w:r>
      <w:r w:rsidR="00D400FB">
        <w:t>GMCB</w:t>
      </w:r>
      <w:r w:rsidR="00D400FB" w:rsidRPr="00AF27DE">
        <w:t xml:space="preserve"> </w:t>
      </w:r>
      <w:r w:rsidRPr="00AF27DE">
        <w:t xml:space="preserve">during this process are exempt from public inspection and copying, the ACO must submit a written request </w:t>
      </w:r>
      <w:r w:rsidR="00D400FB">
        <w:t>asking the GMCB</w:t>
      </w:r>
      <w:r w:rsidRPr="00AF27DE">
        <w:t xml:space="preserve"> </w:t>
      </w:r>
      <w:r w:rsidR="00D400FB">
        <w:t>to</w:t>
      </w:r>
      <w:r>
        <w:t xml:space="preserve"> treat </w:t>
      </w:r>
      <w:r w:rsidRPr="00AF27DE">
        <w:t xml:space="preserve">the materials accordingly. </w:t>
      </w:r>
      <w:r w:rsidR="00EC7E6A" w:rsidRPr="00AF27DE">
        <w:t xml:space="preserve">The written request must </w:t>
      </w:r>
      <w:r w:rsidR="00EC7E6A">
        <w:t xml:space="preserve">specifically identify the materials the ACO claims are exempt from disclosure under 1 V.S.A. § 317(c); provide a detailed explanation citing appropriate legal authority to support the claim; and </w:t>
      </w:r>
      <w:r w:rsidR="00EC7E6A" w:rsidRPr="00AF27DE">
        <w:t xml:space="preserve">comply with </w:t>
      </w:r>
      <w:r w:rsidR="00EC7E6A">
        <w:t xml:space="preserve">all other </w:t>
      </w:r>
      <w:r w:rsidR="00EC7E6A" w:rsidRPr="00AF27DE">
        <w:t xml:space="preserve">requirements set forth in GMCB Rule 5.000, § 5.106(c). </w:t>
      </w:r>
      <w:r w:rsidR="00EC7E6A">
        <w:t xml:space="preserve">The information for which the ACO seeks confidential treatment must be submitted in separate e-mail with “Confidential” in the subject line. The document itself must include the word “Confidential” in the file name (if electronic) and on the face of the document, in a conspicuous location. </w:t>
      </w:r>
      <w:r w:rsidRPr="00AF27DE">
        <w:t xml:space="preserve">The </w:t>
      </w:r>
      <w:r w:rsidR="00D400FB">
        <w:t>GMCB</w:t>
      </w:r>
      <w:r w:rsidR="00D400FB" w:rsidRPr="00AF27DE">
        <w:t xml:space="preserve"> </w:t>
      </w:r>
      <w:r w:rsidRPr="00AF27DE">
        <w:t xml:space="preserve">recommends that the ACO submit the confidentiality request at the same time it submits the materials it considers confidential (or at least notify the </w:t>
      </w:r>
      <w:r w:rsidR="00D400FB">
        <w:t>GMCB</w:t>
      </w:r>
      <w:r w:rsidR="00D400FB" w:rsidRPr="00AF27DE">
        <w:t xml:space="preserve"> </w:t>
      </w:r>
      <w:r w:rsidRPr="00AF27DE">
        <w:t xml:space="preserve">of the confidential nature of the documents), but in any event, the written request must be submitted to the </w:t>
      </w:r>
      <w:r w:rsidR="00D400FB">
        <w:t>GMCB</w:t>
      </w:r>
      <w:r w:rsidRPr="00AF27DE">
        <w:t xml:space="preserve"> no later than three (3) days after the potentially confidential information is submitted to the </w:t>
      </w:r>
      <w:r w:rsidR="00D400FB">
        <w:t>GMCB</w:t>
      </w:r>
      <w:r w:rsidRPr="00AF27DE">
        <w:t>.</w:t>
      </w:r>
      <w:r w:rsidR="003662E1">
        <w:t xml:space="preserve"> The HCA must be copied on all confidentiality requests and related submissions. </w:t>
      </w:r>
    </w:p>
    <w:p w14:paraId="0C0BCDC5" w14:textId="4DB5F2D8" w:rsidR="00EE70A8" w:rsidRDefault="00DD2EAB" w:rsidP="00AD5EAB">
      <w:r w:rsidRPr="00AF27DE">
        <w:t xml:space="preserve">The </w:t>
      </w:r>
      <w:r w:rsidR="0002776C">
        <w:t>HCA</w:t>
      </w:r>
      <w:r w:rsidRPr="00AF27DE">
        <w:t xml:space="preserve"> is bound to respect the </w:t>
      </w:r>
      <w:r w:rsidR="00D400FB">
        <w:t xml:space="preserve">GMCB’s </w:t>
      </w:r>
      <w:r w:rsidRPr="00AF27DE">
        <w:t xml:space="preserve">confidentiality designations and treat the submitted materials as confidential pending the </w:t>
      </w:r>
      <w:r w:rsidR="00D400FB">
        <w:t>GMCB’s</w:t>
      </w:r>
      <w:r w:rsidR="00D400FB" w:rsidRPr="00AF27DE">
        <w:t xml:space="preserve"> </w:t>
      </w:r>
      <w:r w:rsidRPr="00AF27DE">
        <w:t xml:space="preserve">final decision on the request. </w:t>
      </w:r>
      <w:r w:rsidRPr="00AF27DE">
        <w:rPr>
          <w:i/>
          <w:iCs/>
        </w:rPr>
        <w:t xml:space="preserve">See </w:t>
      </w:r>
      <w:r w:rsidRPr="00AF27DE">
        <w:t>18 V.S.A. § 9382(b)(3)(B); Rule 5.000, § 5.106(e)-(g).</w:t>
      </w:r>
      <w:bookmarkEnd w:id="5"/>
    </w:p>
    <w:p w14:paraId="58323184" w14:textId="53153100" w:rsidR="00F11E69" w:rsidRDefault="00F11E69" w:rsidP="00AD5EAB">
      <w:r>
        <w:t>During the budget review process the ACO must be prepared to answer all questions and demonstrate and explain how it arrives at each piece of information in its submission.</w:t>
      </w:r>
    </w:p>
    <w:p w14:paraId="30342C7C" w14:textId="325BFB7B" w:rsidR="001C781F" w:rsidRDefault="00576D5D" w:rsidP="00576D5D">
      <w:pPr>
        <w:pStyle w:val="Heading1"/>
      </w:pPr>
      <w:bookmarkStart w:id="6" w:name="_Toc42002458"/>
      <w:r>
        <w:t xml:space="preserve">FY 2021 BUDGET AND </w:t>
      </w:r>
      <w:r w:rsidR="001C781F">
        <w:t>COVID-19</w:t>
      </w:r>
      <w:bookmarkEnd w:id="6"/>
    </w:p>
    <w:p w14:paraId="6FE80762" w14:textId="6F05B200" w:rsidR="00FD2DBE" w:rsidRDefault="00FD2DBE" w:rsidP="00FD2DBE">
      <w:r w:rsidRPr="00576D5D">
        <w:t xml:space="preserve">The GMCB recognizes that COVID-19 has posed significant challenges for current </w:t>
      </w:r>
      <w:r w:rsidR="003662E1">
        <w:t xml:space="preserve">ACO </w:t>
      </w:r>
      <w:r w:rsidRPr="00576D5D">
        <w:t xml:space="preserve">operations and planning for the future, and many standard questions that would otherwise be posed through this guidance, may not be relevant for the present conditions. In this vein, please note, in this year’s budget </w:t>
      </w:r>
      <w:r w:rsidRPr="00576D5D">
        <w:lastRenderedPageBreak/>
        <w:t xml:space="preserve">guidance, a number of questions or subparts of questions are </w:t>
      </w:r>
      <w:r w:rsidRPr="00576D5D">
        <w:rPr>
          <w:i/>
          <w:iCs/>
          <w:color w:val="A6A6A6" w:themeColor="background1" w:themeShade="A6"/>
        </w:rPr>
        <w:t>“grayed out” and italicized</w:t>
      </w:r>
      <w:r w:rsidRPr="00576D5D">
        <w:t>, which indicates that these particular questions are not required to be answered for the 2021 budget year, but serve as a preview for future budget submissions. Similarly, the Board understands the challenges associated with developing estimates based on utilization and other prospective factors given COVID-19, but still needs to understand any inputs, recognizing the uncertainty around these assumptions.</w:t>
      </w:r>
      <w:r w:rsidR="00426673">
        <w:t xml:space="preserve"> In answering all questions below, where </w:t>
      </w:r>
      <w:r w:rsidR="00FC29DF">
        <w:t>applicable, please note when changes over prior year are related to COVID-19 and how</w:t>
      </w:r>
      <w:r w:rsidR="00EA4603">
        <w:t xml:space="preserve"> (e.g. new or uncertain trends in utilization)</w:t>
      </w:r>
      <w:r w:rsidR="00FC29DF">
        <w:t xml:space="preserve">, or whether changes </w:t>
      </w:r>
      <w:r w:rsidR="00EA4603">
        <w:t>are in response to other factors (e.g. changes in attributed population</w:t>
      </w:r>
      <w:r w:rsidR="00443AE7">
        <w:t>, efficiency gains etc.</w:t>
      </w:r>
      <w:r w:rsidR="00EA4603">
        <w:t>)</w:t>
      </w:r>
    </w:p>
    <w:p w14:paraId="41C5D9F8" w14:textId="33E9E8DD" w:rsidR="00DF12C0" w:rsidRDefault="00DF12C0" w:rsidP="0008681A">
      <w:pPr>
        <w:pStyle w:val="Heading1"/>
        <w:spacing w:line="240" w:lineRule="auto"/>
      </w:pPr>
      <w:bookmarkStart w:id="7" w:name="_Toc42002459"/>
      <w:r>
        <w:t xml:space="preserve">PART </w:t>
      </w:r>
      <w:r w:rsidR="00101644">
        <w:t>I</w:t>
      </w:r>
      <w:r>
        <w:t>. REPORTING REQUIREMENTS</w:t>
      </w:r>
      <w:bookmarkEnd w:id="7"/>
    </w:p>
    <w:p w14:paraId="7BD996AB" w14:textId="6415A8E9" w:rsidR="00EE70A8" w:rsidRPr="00D04186" w:rsidRDefault="00EE70A8" w:rsidP="0008681A">
      <w:pPr>
        <w:pStyle w:val="Heading2"/>
        <w:spacing w:line="240" w:lineRule="auto"/>
      </w:pPr>
      <w:bookmarkStart w:id="8" w:name="_Toc42002460"/>
      <w:r>
        <w:t>Section</w:t>
      </w:r>
      <w:r w:rsidRPr="00D04186">
        <w:t xml:space="preserve"> 1: </w:t>
      </w:r>
      <w:r w:rsidR="00026BCB">
        <w:t>ACO</w:t>
      </w:r>
      <w:r w:rsidR="00026BCB" w:rsidRPr="00D04186">
        <w:t xml:space="preserve"> </w:t>
      </w:r>
      <w:r w:rsidR="00026BCB">
        <w:t>I</w:t>
      </w:r>
      <w:r w:rsidR="00026BCB" w:rsidRPr="00D04186">
        <w:t xml:space="preserve">nformation and </w:t>
      </w:r>
      <w:r w:rsidR="00026BCB">
        <w:t>B</w:t>
      </w:r>
      <w:r w:rsidR="00026BCB" w:rsidRPr="00D04186">
        <w:t>ackground</w:t>
      </w:r>
      <w:bookmarkEnd w:id="8"/>
    </w:p>
    <w:p w14:paraId="3CB98872" w14:textId="5F028DF1" w:rsidR="0000748C" w:rsidRDefault="00E61067" w:rsidP="0000748C">
      <w:pPr>
        <w:pStyle w:val="ListParagraph"/>
        <w:numPr>
          <w:ilvl w:val="0"/>
          <w:numId w:val="1"/>
        </w:numPr>
      </w:pPr>
      <w:r>
        <w:t>Provide an executive summary of the budget submissio</w:t>
      </w:r>
      <w:r w:rsidR="00002E49">
        <w:t>n</w:t>
      </w:r>
      <w:r>
        <w:t>.</w:t>
      </w:r>
      <w:r w:rsidR="0000748C">
        <w:t xml:space="preserve"> In doing so, p</w:t>
      </w:r>
      <w:r w:rsidR="0077352E">
        <w:t xml:space="preserve">lease </w:t>
      </w:r>
      <w:r w:rsidR="0000748C">
        <w:t>address the following:</w:t>
      </w:r>
    </w:p>
    <w:p w14:paraId="23113909" w14:textId="56CD2BE4" w:rsidR="00610BFF" w:rsidRDefault="00610BFF" w:rsidP="00374F3A">
      <w:pPr>
        <w:pStyle w:val="ListParagraph"/>
        <w:numPr>
          <w:ilvl w:val="0"/>
          <w:numId w:val="3"/>
        </w:numPr>
        <w:spacing w:after="0"/>
      </w:pPr>
      <w:r>
        <w:t xml:space="preserve">OneCare’s value proposition and business </w:t>
      </w:r>
      <w:proofErr w:type="gramStart"/>
      <w:r>
        <w:t>model</w:t>
      </w:r>
      <w:r w:rsidR="00F7200F">
        <w:t>;</w:t>
      </w:r>
      <w:proofErr w:type="gramEnd"/>
    </w:p>
    <w:p w14:paraId="2309C143" w14:textId="33838A53" w:rsidR="00B62C8E" w:rsidRDefault="0000748C" w:rsidP="00374F3A">
      <w:pPr>
        <w:pStyle w:val="ListParagraph"/>
        <w:numPr>
          <w:ilvl w:val="0"/>
          <w:numId w:val="3"/>
        </w:numPr>
        <w:spacing w:after="0"/>
      </w:pPr>
      <w:r>
        <w:t>M</w:t>
      </w:r>
      <w:r w:rsidR="0077352E">
        <w:t>ain outcomes, objectives, opportunities and challenges faced when developing the budget</w:t>
      </w:r>
      <w:r w:rsidR="001E3D4A">
        <w:t>, including the impact of COVID-</w:t>
      </w:r>
      <w:proofErr w:type="gramStart"/>
      <w:r w:rsidR="001E3D4A">
        <w:t>19</w:t>
      </w:r>
      <w:r w:rsidR="00F7200F">
        <w:t>;</w:t>
      </w:r>
      <w:proofErr w:type="gramEnd"/>
    </w:p>
    <w:p w14:paraId="7B676B18" w14:textId="525F1B59" w:rsidR="0000748C" w:rsidRDefault="0000748C" w:rsidP="00374F3A">
      <w:pPr>
        <w:pStyle w:val="ListParagraph"/>
        <w:numPr>
          <w:ilvl w:val="0"/>
          <w:numId w:val="3"/>
        </w:numPr>
        <w:spacing w:after="0"/>
      </w:pPr>
      <w:r>
        <w:t>Changes to the provider</w:t>
      </w:r>
      <w:r w:rsidR="00EE70A8" w:rsidRPr="00F45BCE">
        <w:t xml:space="preserve"> </w:t>
      </w:r>
      <w:proofErr w:type="gramStart"/>
      <w:r w:rsidR="00EE70A8" w:rsidRPr="00F45BCE">
        <w:t>network</w:t>
      </w:r>
      <w:r w:rsidR="00F7200F">
        <w:t>;</w:t>
      </w:r>
      <w:proofErr w:type="gramEnd"/>
    </w:p>
    <w:p w14:paraId="3D476978" w14:textId="606BBFFB" w:rsidR="0000748C" w:rsidRDefault="0000748C" w:rsidP="00374F3A">
      <w:pPr>
        <w:pStyle w:val="ListParagraph"/>
        <w:numPr>
          <w:ilvl w:val="0"/>
          <w:numId w:val="3"/>
        </w:numPr>
        <w:spacing w:after="0"/>
      </w:pPr>
      <w:r>
        <w:t xml:space="preserve">Changes to payer </w:t>
      </w:r>
      <w:proofErr w:type="gramStart"/>
      <w:r>
        <w:t>programs</w:t>
      </w:r>
      <w:r w:rsidR="00F7200F">
        <w:t>;</w:t>
      </w:r>
      <w:proofErr w:type="gramEnd"/>
    </w:p>
    <w:p w14:paraId="5E7B768A" w14:textId="3E4F4B55" w:rsidR="00B62C8E" w:rsidRDefault="00B62C8E" w:rsidP="00374F3A">
      <w:pPr>
        <w:pStyle w:val="ListParagraph"/>
        <w:numPr>
          <w:ilvl w:val="0"/>
          <w:numId w:val="3"/>
        </w:numPr>
        <w:spacing w:after="0"/>
      </w:pPr>
      <w:r>
        <w:t xml:space="preserve">Changes to population health and preventative programs and the effect on the </w:t>
      </w:r>
      <w:proofErr w:type="gramStart"/>
      <w:r>
        <w:t>budget</w:t>
      </w:r>
      <w:r w:rsidR="00F7200F">
        <w:t>;</w:t>
      </w:r>
      <w:proofErr w:type="gramEnd"/>
    </w:p>
    <w:p w14:paraId="42073E89" w14:textId="29421D92" w:rsidR="0000748C" w:rsidRDefault="00B62C8E" w:rsidP="00374F3A">
      <w:pPr>
        <w:pStyle w:val="ListParagraph"/>
        <w:numPr>
          <w:ilvl w:val="0"/>
          <w:numId w:val="3"/>
        </w:numPr>
        <w:spacing w:after="0"/>
      </w:pPr>
      <w:r>
        <w:t>Changes to s</w:t>
      </w:r>
      <w:r w:rsidR="0000748C">
        <w:t xml:space="preserve">taffing and other administrative </w:t>
      </w:r>
      <w:r>
        <w:t xml:space="preserve">operations and the effect on the </w:t>
      </w:r>
      <w:proofErr w:type="gramStart"/>
      <w:r>
        <w:t>budget</w:t>
      </w:r>
      <w:r w:rsidR="00F7200F">
        <w:t>;</w:t>
      </w:r>
      <w:proofErr w:type="gramEnd"/>
    </w:p>
    <w:p w14:paraId="20B427C4" w14:textId="09B10C63" w:rsidR="0000748C" w:rsidRDefault="0000748C" w:rsidP="00374F3A">
      <w:pPr>
        <w:pStyle w:val="ListParagraph"/>
        <w:numPr>
          <w:ilvl w:val="0"/>
          <w:numId w:val="3"/>
        </w:numPr>
        <w:spacing w:after="0"/>
      </w:pPr>
      <w:r>
        <w:t xml:space="preserve">Key </w:t>
      </w:r>
      <w:r w:rsidR="00EE70A8" w:rsidRPr="00F45BCE">
        <w:t xml:space="preserve">assumptions made </w:t>
      </w:r>
      <w:r>
        <w:t>during</w:t>
      </w:r>
      <w:r w:rsidR="00EE70A8" w:rsidRPr="00F45BCE">
        <w:t xml:space="preserve"> budget </w:t>
      </w:r>
      <w:r>
        <w:t>development</w:t>
      </w:r>
      <w:r w:rsidR="00EE70A8" w:rsidRPr="00F45BCE">
        <w:t>.</w:t>
      </w:r>
      <w:r w:rsidR="0086142B">
        <w:t xml:space="preserve"> </w:t>
      </w:r>
    </w:p>
    <w:p w14:paraId="6834E271" w14:textId="77777777" w:rsidR="00B62C8E" w:rsidRDefault="00B62C8E" w:rsidP="00B62C8E">
      <w:pPr>
        <w:pStyle w:val="ListParagraph"/>
        <w:numPr>
          <w:ilvl w:val="0"/>
          <w:numId w:val="0"/>
        </w:numPr>
        <w:spacing w:after="0"/>
        <w:ind w:left="1440"/>
      </w:pPr>
    </w:p>
    <w:p w14:paraId="00D7B812" w14:textId="2BC787DE" w:rsidR="00EE70A8" w:rsidRPr="00D04186" w:rsidRDefault="00026BCB" w:rsidP="0000748C">
      <w:pPr>
        <w:pStyle w:val="Heading2"/>
        <w:spacing w:line="240" w:lineRule="auto"/>
      </w:pPr>
      <w:bookmarkStart w:id="9" w:name="_Toc42002461"/>
      <w:r>
        <w:t>Section</w:t>
      </w:r>
      <w:r w:rsidRPr="00D04186">
        <w:t xml:space="preserve"> 2: A</w:t>
      </w:r>
      <w:r>
        <w:t>CO</w:t>
      </w:r>
      <w:r w:rsidRPr="00D04186">
        <w:t xml:space="preserve"> Provider Network</w:t>
      </w:r>
      <w:bookmarkEnd w:id="9"/>
    </w:p>
    <w:p w14:paraId="73DE9C31" w14:textId="152B6CB9" w:rsidR="00A64FCA" w:rsidRDefault="00A64FCA" w:rsidP="009E6A4A">
      <w:pPr>
        <w:pStyle w:val="ListParagraph"/>
        <w:numPr>
          <w:ilvl w:val="1"/>
          <w:numId w:val="2"/>
        </w:numPr>
        <w:ind w:left="720"/>
      </w:pPr>
      <w:r>
        <w:t xml:space="preserve">Explain </w:t>
      </w:r>
      <w:r w:rsidR="00A97FAF">
        <w:t xml:space="preserve">the 2021 network development strategy and </w:t>
      </w:r>
      <w:r>
        <w:t>any anticipated changes to the provider network including areas of growth, areas of decline and general observations as to what is driving participation decisions and how these changes affect the overall budget.</w:t>
      </w:r>
      <w:r w:rsidR="00291360">
        <w:t xml:space="preserve"> Discuss both the challenges and opportunities associated with 2021 network recruitment activities</w:t>
      </w:r>
      <w:r w:rsidR="00AB54DA">
        <w:t>, including the impact of COVID-19</w:t>
      </w:r>
      <w:r w:rsidR="00291360">
        <w:t>.</w:t>
      </w:r>
    </w:p>
    <w:p w14:paraId="7F7DE0CA" w14:textId="77777777" w:rsidR="00A04CD4" w:rsidRDefault="00A04CD4" w:rsidP="00A04CD4">
      <w:pPr>
        <w:pStyle w:val="ListParagraph"/>
        <w:numPr>
          <w:ilvl w:val="1"/>
          <w:numId w:val="2"/>
        </w:numPr>
        <w:ind w:left="720"/>
      </w:pPr>
      <w:r>
        <w:t>Please populate</w:t>
      </w:r>
      <w:r w:rsidRPr="000E4E14">
        <w:rPr>
          <w:b/>
          <w:bCs/>
        </w:rPr>
        <w:t xml:space="preserve"> </w:t>
      </w:r>
      <w:r w:rsidRPr="00B730B6">
        <w:rPr>
          <w:b/>
          <w:bCs/>
        </w:rPr>
        <w:t>Appendix 2.1,</w:t>
      </w:r>
      <w:r w:rsidRPr="00EE70A8">
        <w:t xml:space="preserve"> </w:t>
      </w:r>
      <w:r>
        <w:rPr>
          <w:rStyle w:val="Heading3Char"/>
        </w:rPr>
        <w:t>2021</w:t>
      </w:r>
      <w:r w:rsidRPr="00163D69">
        <w:rPr>
          <w:rStyle w:val="Heading3Char"/>
        </w:rPr>
        <w:t xml:space="preserve"> ACO Provider Network Template</w:t>
      </w:r>
      <w:r>
        <w:rPr>
          <w:rStyle w:val="Heading3Char"/>
        </w:rPr>
        <w:t xml:space="preserve">, </w:t>
      </w:r>
      <w:r w:rsidRPr="00B730B6">
        <w:rPr>
          <w:b/>
          <w:bCs/>
        </w:rPr>
        <w:t xml:space="preserve">Appendix 2.2, </w:t>
      </w:r>
      <w:r>
        <w:rPr>
          <w:b/>
          <w:bCs/>
        </w:rPr>
        <w:t>2021</w:t>
      </w:r>
      <w:r w:rsidRPr="00B730B6">
        <w:rPr>
          <w:b/>
          <w:bCs/>
        </w:rPr>
        <w:t xml:space="preserve"> </w:t>
      </w:r>
      <w:r>
        <w:rPr>
          <w:b/>
          <w:bCs/>
        </w:rPr>
        <w:t>P</w:t>
      </w:r>
      <w:r w:rsidRPr="00B730B6">
        <w:rPr>
          <w:b/>
          <w:bCs/>
        </w:rPr>
        <w:t>rovide</w:t>
      </w:r>
      <w:r>
        <w:rPr>
          <w:b/>
          <w:bCs/>
        </w:rPr>
        <w:t>r</w:t>
      </w:r>
      <w:r w:rsidRPr="00B730B6">
        <w:rPr>
          <w:b/>
          <w:bCs/>
        </w:rPr>
        <w:t xml:space="preserve"> </w:t>
      </w:r>
      <w:r>
        <w:rPr>
          <w:b/>
          <w:bCs/>
        </w:rPr>
        <w:t>L</w:t>
      </w:r>
      <w:r w:rsidRPr="00B730B6">
        <w:rPr>
          <w:b/>
          <w:bCs/>
        </w:rPr>
        <w:t>ists</w:t>
      </w:r>
      <w:r>
        <w:t>, and submit Copies of each type of provider contract, agreement, and addendum for 2021 (i.e. risk contracts, non-risk contracts, collaboration agreements, and memoranda of understanding).</w:t>
      </w:r>
    </w:p>
    <w:p w14:paraId="024C9AF3" w14:textId="0471C5CB" w:rsidR="00A01D21" w:rsidRDefault="00A01D21" w:rsidP="00A01D21">
      <w:pPr>
        <w:pStyle w:val="ListParagraph"/>
        <w:numPr>
          <w:ilvl w:val="1"/>
          <w:numId w:val="2"/>
        </w:numPr>
        <w:ind w:left="720"/>
      </w:pPr>
      <w:r>
        <w:t>Please describe how your provider contracts support and further the goals of reducing cost and improving quality, including reference to the following</w:t>
      </w:r>
      <w:r w:rsidR="005245F1">
        <w:t>:</w:t>
      </w:r>
    </w:p>
    <w:p w14:paraId="6758BBC8" w14:textId="62AC4704" w:rsidR="00FB36A1" w:rsidRDefault="00FB36A1" w:rsidP="00832E0E">
      <w:pPr>
        <w:pStyle w:val="NoSpacing"/>
        <w:numPr>
          <w:ilvl w:val="4"/>
          <w:numId w:val="2"/>
        </w:numPr>
      </w:pPr>
      <w:r>
        <w:t>P</w:t>
      </w:r>
      <w:r w:rsidR="00A01D21">
        <w:t xml:space="preserve">rovider payment strategies and methodologies. </w:t>
      </w:r>
    </w:p>
    <w:p w14:paraId="06770E2E" w14:textId="77777777" w:rsidR="00FD5434" w:rsidRDefault="00FB36A1" w:rsidP="00832E0E">
      <w:pPr>
        <w:pStyle w:val="NoSpacing"/>
        <w:numPr>
          <w:ilvl w:val="4"/>
          <w:numId w:val="2"/>
        </w:numPr>
      </w:pPr>
      <w:r>
        <w:t>A</w:t>
      </w:r>
      <w:r w:rsidR="00A01D21">
        <w:t xml:space="preserve"> description of the any new or expanded ACO incentives to strengthen primary care, including strategies for recruiting additional primary care providers to the model, providing resources to expand capacity in existing primary care practices, and reducing the administrative burden of reporting requirements for providers while balancing the need to have sufficient measures to evaluate adequately the quality of and access to care.</w:t>
      </w:r>
    </w:p>
    <w:p w14:paraId="521F0805" w14:textId="4278F2F5" w:rsidR="00BB0EEC" w:rsidRDefault="00FD5434" w:rsidP="00832E0E">
      <w:pPr>
        <w:pStyle w:val="NoSpacing"/>
        <w:numPr>
          <w:ilvl w:val="4"/>
          <w:numId w:val="2"/>
        </w:numPr>
      </w:pPr>
      <w:r>
        <w:lastRenderedPageBreak/>
        <w:t>Any</w:t>
      </w:r>
      <w:r w:rsidR="00B144FE">
        <w:t xml:space="preserve"> strategies related to the</w:t>
      </w:r>
      <w:r w:rsidR="00E47E04">
        <w:t xml:space="preserve"> expan</w:t>
      </w:r>
      <w:r w:rsidR="00B144FE">
        <w:t>sion of</w:t>
      </w:r>
      <w:r w:rsidR="00E47E04">
        <w:t xml:space="preserve"> </w:t>
      </w:r>
      <w:r w:rsidR="00B144FE">
        <w:t>fixed prospective payments</w:t>
      </w:r>
      <w:r w:rsidR="00E47E04">
        <w:t xml:space="preserve"> </w:t>
      </w:r>
      <w:r w:rsidR="00B144FE">
        <w:t xml:space="preserve">(FPP) </w:t>
      </w:r>
      <w:r w:rsidR="00E47E04">
        <w:t xml:space="preserve">across the ACO </w:t>
      </w:r>
      <w:r w:rsidR="00B1456B">
        <w:t xml:space="preserve">provider </w:t>
      </w:r>
      <w:r w:rsidR="00E47E04">
        <w:t>network</w:t>
      </w:r>
      <w:r w:rsidR="008043C4">
        <w:t>, recognizing provider types</w:t>
      </w:r>
      <w:r w:rsidR="00B144FE">
        <w:t>.</w:t>
      </w:r>
      <w:r w:rsidR="006F15C5">
        <w:t xml:space="preserve"> Please identify any provider types for which FPP may not be an </w:t>
      </w:r>
      <w:r w:rsidR="00076655">
        <w:t>appropriate</w:t>
      </w:r>
      <w:r w:rsidR="006F15C5">
        <w:t xml:space="preserve"> payment reform strategy</w:t>
      </w:r>
      <w:r w:rsidR="00076655">
        <w:t xml:space="preserve"> and </w:t>
      </w:r>
      <w:r w:rsidR="00CE0F41">
        <w:t>explain</w:t>
      </w:r>
      <w:r w:rsidR="008B4118">
        <w:t xml:space="preserve"> why</w:t>
      </w:r>
      <w:r w:rsidR="00076655">
        <w:t>.</w:t>
      </w:r>
    </w:p>
    <w:p w14:paraId="6B30788A" w14:textId="7CBCE716" w:rsidR="00F86761" w:rsidRPr="00E374FE" w:rsidRDefault="00573F73" w:rsidP="00E374FE">
      <w:pPr>
        <w:pStyle w:val="NoSpacing"/>
        <w:numPr>
          <w:ilvl w:val="4"/>
          <w:numId w:val="2"/>
        </w:numPr>
        <w:rPr>
          <w:i/>
          <w:iCs/>
          <w:color w:val="A6A6A6" w:themeColor="background1" w:themeShade="A6"/>
        </w:rPr>
      </w:pPr>
      <w:r w:rsidRPr="00CB55E6">
        <w:rPr>
          <w:i/>
          <w:iCs/>
          <w:color w:val="A6A6A6" w:themeColor="background1" w:themeShade="A6"/>
        </w:rPr>
        <w:t>Strateg</w:t>
      </w:r>
      <w:r w:rsidR="00631780" w:rsidRPr="00CB55E6">
        <w:rPr>
          <w:i/>
          <w:iCs/>
          <w:color w:val="A6A6A6" w:themeColor="background1" w:themeShade="A6"/>
        </w:rPr>
        <w:t>ies</w:t>
      </w:r>
      <w:r w:rsidRPr="00CB55E6">
        <w:rPr>
          <w:i/>
          <w:iCs/>
          <w:color w:val="A6A6A6" w:themeColor="background1" w:themeShade="A6"/>
        </w:rPr>
        <w:t xml:space="preserve"> for expanding provider participati</w:t>
      </w:r>
      <w:r w:rsidR="00631780" w:rsidRPr="00CB55E6">
        <w:rPr>
          <w:i/>
          <w:iCs/>
          <w:color w:val="A6A6A6" w:themeColor="background1" w:themeShade="A6"/>
        </w:rPr>
        <w:t>on</w:t>
      </w:r>
      <w:r w:rsidRPr="00CB55E6">
        <w:rPr>
          <w:i/>
          <w:iCs/>
          <w:color w:val="A6A6A6" w:themeColor="background1" w:themeShade="A6"/>
        </w:rPr>
        <w:t xml:space="preserve"> across payers – how are we working toward</w:t>
      </w:r>
      <w:r w:rsidR="000676A5" w:rsidRPr="00CB55E6">
        <w:rPr>
          <w:i/>
          <w:iCs/>
          <w:color w:val="A6A6A6" w:themeColor="background1" w:themeShade="A6"/>
        </w:rPr>
        <w:t xml:space="preserve"> an</w:t>
      </w:r>
      <w:r w:rsidRPr="00CB55E6">
        <w:rPr>
          <w:i/>
          <w:iCs/>
          <w:color w:val="A6A6A6" w:themeColor="background1" w:themeShade="A6"/>
        </w:rPr>
        <w:t xml:space="preserve"> “all payer”</w:t>
      </w:r>
      <w:r w:rsidR="000676A5" w:rsidRPr="00CB55E6">
        <w:rPr>
          <w:i/>
          <w:iCs/>
          <w:color w:val="A6A6A6" w:themeColor="background1" w:themeShade="A6"/>
        </w:rPr>
        <w:t xml:space="preserve"> model?</w:t>
      </w:r>
    </w:p>
    <w:p w14:paraId="6BFECEF5" w14:textId="77777777" w:rsidR="00F86761" w:rsidRPr="00CB55E6" w:rsidRDefault="00F86761" w:rsidP="00832E0E">
      <w:pPr>
        <w:pStyle w:val="NoSpacing"/>
        <w:ind w:left="1890"/>
        <w:rPr>
          <w:i/>
          <w:iCs/>
          <w:color w:val="A6A6A6" w:themeColor="background1" w:themeShade="A6"/>
        </w:rPr>
      </w:pPr>
    </w:p>
    <w:p w14:paraId="0D773003" w14:textId="10625316" w:rsidR="004620D9" w:rsidRDefault="00026BCB" w:rsidP="0008681A">
      <w:pPr>
        <w:pStyle w:val="Heading2"/>
        <w:spacing w:line="240" w:lineRule="auto"/>
      </w:pPr>
      <w:bookmarkStart w:id="10" w:name="_Toc42002462"/>
      <w:r>
        <w:t>Section</w:t>
      </w:r>
      <w:r w:rsidRPr="007C0578">
        <w:t xml:space="preserve"> 3: A</w:t>
      </w:r>
      <w:r>
        <w:t>CO</w:t>
      </w:r>
      <w:r w:rsidRPr="007C0578">
        <w:t xml:space="preserve"> Payer Programs</w:t>
      </w:r>
      <w:bookmarkEnd w:id="10"/>
    </w:p>
    <w:p w14:paraId="713680CC" w14:textId="6960E0D0" w:rsidR="00857F23" w:rsidRDefault="00857F23" w:rsidP="00857F23">
      <w:pPr>
        <w:pStyle w:val="ListParagraph"/>
        <w:numPr>
          <w:ilvl w:val="0"/>
          <w:numId w:val="7"/>
        </w:numPr>
      </w:pPr>
      <w:r>
        <w:t xml:space="preserve">Complete </w:t>
      </w:r>
      <w:r w:rsidRPr="00B730B6">
        <w:rPr>
          <w:b/>
          <w:bCs/>
        </w:rPr>
        <w:t>Appendix 3.</w:t>
      </w:r>
      <w:r>
        <w:rPr>
          <w:b/>
          <w:bCs/>
        </w:rPr>
        <w:t>1</w:t>
      </w:r>
      <w:r w:rsidRPr="00B730B6">
        <w:rPr>
          <w:b/>
          <w:bCs/>
        </w:rPr>
        <w:t>, ACO Scale Target Initiatives and Program Alignment Form</w:t>
      </w:r>
      <w:r w:rsidR="00A2266E">
        <w:t xml:space="preserve">, </w:t>
      </w:r>
      <w:r w:rsidR="000412CF">
        <w:t>submit copies of</w:t>
      </w:r>
      <w:r>
        <w:t xml:space="preserve"> your 2021 proposed contractual arrangements, by payer</w:t>
      </w:r>
      <w:r w:rsidR="00A2266E">
        <w:t>, and explain changes made to your portfolio of payer programs for the proposed budget year</w:t>
      </w:r>
      <w:r w:rsidR="00AA3C68">
        <w:t>, including reference to the following:</w:t>
      </w:r>
      <w:r>
        <w:t xml:space="preserve"> </w:t>
      </w:r>
    </w:p>
    <w:p w14:paraId="3F69A916" w14:textId="77777777" w:rsidR="00AA3C68" w:rsidRDefault="00AA3C68" w:rsidP="00832E0E">
      <w:pPr>
        <w:pStyle w:val="NoSpacing"/>
        <w:numPr>
          <w:ilvl w:val="1"/>
          <w:numId w:val="7"/>
        </w:numPr>
      </w:pPr>
      <w:r>
        <w:t>A</w:t>
      </w:r>
      <w:r w:rsidR="0034471F">
        <w:t>ny anticipated new payer programs and/or terminating payer programs and the overall impact on the budget model.</w:t>
      </w:r>
    </w:p>
    <w:p w14:paraId="567F705E" w14:textId="77777777" w:rsidR="00AA3C68" w:rsidRDefault="0034471F" w:rsidP="00832E0E">
      <w:pPr>
        <w:pStyle w:val="NoSpacing"/>
        <w:numPr>
          <w:ilvl w:val="1"/>
          <w:numId w:val="7"/>
        </w:numPr>
      </w:pPr>
      <w:r>
        <w:t>For continuing payer programs, explain any anticipated changes and the overall impact on the budget.</w:t>
      </w:r>
    </w:p>
    <w:p w14:paraId="40737463" w14:textId="243E3779" w:rsidR="00773408" w:rsidRDefault="00773408" w:rsidP="00832E0E">
      <w:pPr>
        <w:pStyle w:val="NoSpacing"/>
        <w:numPr>
          <w:ilvl w:val="1"/>
          <w:numId w:val="7"/>
        </w:numPr>
      </w:pPr>
      <w:r>
        <w:t>For any programs that do not generate attribution qualifying for All Payer Model scale targets, explain the rationale for entering the program and its overall impact on the budget model.</w:t>
      </w:r>
    </w:p>
    <w:p w14:paraId="01E2E950" w14:textId="77777777" w:rsidR="00832E0E" w:rsidRDefault="00832E0E" w:rsidP="00832E0E">
      <w:pPr>
        <w:pStyle w:val="NoSpacing"/>
        <w:ind w:left="1440"/>
      </w:pPr>
    </w:p>
    <w:p w14:paraId="3C4B2580" w14:textId="795E9BF4" w:rsidR="00F11E69" w:rsidRDefault="00E01360" w:rsidP="00F11E69">
      <w:pPr>
        <w:pStyle w:val="NoSpacing"/>
        <w:numPr>
          <w:ilvl w:val="0"/>
          <w:numId w:val="7"/>
        </w:numPr>
      </w:pPr>
      <w:r>
        <w:t xml:space="preserve">Please explain any strategies you are pursuing for expanding FPP offerings across payer programs. </w:t>
      </w:r>
      <w:r w:rsidR="00DF0736">
        <w:t xml:space="preserve">Please </w:t>
      </w:r>
      <w:r w:rsidR="00BD4087">
        <w:t xml:space="preserve">also </w:t>
      </w:r>
      <w:r w:rsidR="00DF0736">
        <w:t>explain how</w:t>
      </w:r>
      <w:r>
        <w:t xml:space="preserve"> FPPs are calculated for each program</w:t>
      </w:r>
      <w:r w:rsidR="00A07ED0">
        <w:t>, the rationale for such, including how you will plan to accommodate the unusual utilization patterns associated with COVID-19</w:t>
      </w:r>
      <w:r>
        <w:t>, and what kinds of providers are eligible for participation</w:t>
      </w:r>
      <w:r w:rsidR="00A07ED0">
        <w:t>.</w:t>
      </w:r>
      <w:r>
        <w:t xml:space="preserve"> What mechanisms do you have to ensure that FPP is not “too high” or “too low”?</w:t>
      </w:r>
    </w:p>
    <w:p w14:paraId="203B72F0" w14:textId="77777777" w:rsidR="00F11E69" w:rsidRDefault="00F11E69" w:rsidP="00F11E69">
      <w:pPr>
        <w:pStyle w:val="NoSpacing"/>
        <w:ind w:left="720"/>
      </w:pPr>
    </w:p>
    <w:p w14:paraId="3ED731EC" w14:textId="62850DE8" w:rsidR="00B76D0F" w:rsidRDefault="00B76D0F" w:rsidP="00F11E69">
      <w:pPr>
        <w:pStyle w:val="NoSpacing"/>
        <w:numPr>
          <w:ilvl w:val="0"/>
          <w:numId w:val="7"/>
        </w:numPr>
      </w:pPr>
      <w:r>
        <w:t xml:space="preserve">Please provide an update on </w:t>
      </w:r>
      <w:r w:rsidR="00206D9F">
        <w:t>the “expanded” or geographic attribution methodology implemented in the Medicaid ACO program in 202</w:t>
      </w:r>
      <w:r w:rsidR="00A07ED0">
        <w:t>0, including any attribution results to date and any plans to change the methodology for 2021</w:t>
      </w:r>
      <w:r w:rsidR="00206D9F">
        <w:t>.</w:t>
      </w:r>
    </w:p>
    <w:p w14:paraId="25736356" w14:textId="77777777" w:rsidR="00D94D7C" w:rsidRDefault="00D94D7C" w:rsidP="00D94D7C">
      <w:pPr>
        <w:pStyle w:val="NoSpacing"/>
        <w:ind w:left="720"/>
      </w:pPr>
    </w:p>
    <w:p w14:paraId="72095E46" w14:textId="096DC1E2" w:rsidR="00BC774A" w:rsidRDefault="00BC774A" w:rsidP="00A55929">
      <w:pPr>
        <w:pStyle w:val="Heading2"/>
        <w:keepNext/>
        <w:spacing w:line="240" w:lineRule="auto"/>
      </w:pPr>
      <w:bookmarkStart w:id="11" w:name="_Toc42002463"/>
      <w:r>
        <w:t>Section 4: Total Cost of Care</w:t>
      </w:r>
      <w:bookmarkEnd w:id="11"/>
    </w:p>
    <w:p w14:paraId="57A90D78" w14:textId="4155A325" w:rsidR="00214EA4" w:rsidRDefault="00214EA4" w:rsidP="00374F3A">
      <w:pPr>
        <w:pStyle w:val="ListParagraph"/>
        <w:numPr>
          <w:ilvl w:val="0"/>
          <w:numId w:val="8"/>
        </w:numPr>
      </w:pPr>
      <w:r>
        <w:t xml:space="preserve">Please complete </w:t>
      </w:r>
      <w:r w:rsidRPr="00BA44B2">
        <w:rPr>
          <w:b/>
          <w:bCs/>
        </w:rPr>
        <w:t>Appendix 4.</w:t>
      </w:r>
      <w:r w:rsidR="0009178C">
        <w:rPr>
          <w:b/>
          <w:bCs/>
        </w:rPr>
        <w:t>1</w:t>
      </w:r>
      <w:r>
        <w:rPr>
          <w:b/>
          <w:bCs/>
        </w:rPr>
        <w:t xml:space="preserve">, TCOC Prior Year Performance by Payer, by HSA (2019). </w:t>
      </w:r>
      <w:r w:rsidRPr="00942B63">
        <w:t xml:space="preserve">Please comment on variations in performance, and any lessons learned, including both challenges and opportunities </w:t>
      </w:r>
      <w:r>
        <w:t>statewide</w:t>
      </w:r>
      <w:r w:rsidRPr="00942B63">
        <w:t xml:space="preserve">, and those that may exist in varying capacities </w:t>
      </w:r>
      <w:r>
        <w:t>across</w:t>
      </w:r>
      <w:r w:rsidRPr="00942B63">
        <w:t xml:space="preserve"> HSAs.</w:t>
      </w:r>
      <w:r>
        <w:t xml:space="preserve"> How </w:t>
      </w:r>
      <w:r w:rsidR="001D0BD2">
        <w:t>is</w:t>
      </w:r>
      <w:r>
        <w:t xml:space="preserve"> the ACO help</w:t>
      </w:r>
      <w:r w:rsidR="001D0BD2">
        <w:t>ing</w:t>
      </w:r>
      <w:r>
        <w:t xml:space="preserve"> those communities that did not meet their targets develop further insights and adapt their local strategies?</w:t>
      </w:r>
      <w:r w:rsidRPr="00214EA4">
        <w:t xml:space="preserve"> </w:t>
      </w:r>
    </w:p>
    <w:p w14:paraId="3F8EF390" w14:textId="01429159" w:rsidR="00BC774A" w:rsidRDefault="003B1267" w:rsidP="00374F3A">
      <w:pPr>
        <w:pStyle w:val="ListParagraph"/>
        <w:numPr>
          <w:ilvl w:val="0"/>
          <w:numId w:val="8"/>
        </w:numPr>
      </w:pPr>
      <w:r>
        <w:t xml:space="preserve">Please complete </w:t>
      </w:r>
      <w:r w:rsidRPr="00BA44B2">
        <w:rPr>
          <w:b/>
          <w:bCs/>
        </w:rPr>
        <w:t>Appendix 4.</w:t>
      </w:r>
      <w:r w:rsidR="00944D8A">
        <w:rPr>
          <w:b/>
          <w:bCs/>
        </w:rPr>
        <w:t>2</w:t>
      </w:r>
      <w:r w:rsidR="00926FEA">
        <w:rPr>
          <w:b/>
          <w:bCs/>
        </w:rPr>
        <w:t>, TCOC Current Year Projected Performance by Payer, by HSA (2020).</w:t>
      </w:r>
      <w:r w:rsidR="00A56C6B">
        <w:t xml:space="preserve"> </w:t>
      </w:r>
      <w:r w:rsidR="00003600">
        <w:t>Please recognize any relevant assumptions for</w:t>
      </w:r>
      <w:r w:rsidR="00095B90">
        <w:t xml:space="preserve"> projecting the remainder of the year (e.g. based on historical seasonal spend</w:t>
      </w:r>
      <w:r w:rsidR="00BF7696">
        <w:t xml:space="preserve"> plus a </w:t>
      </w:r>
      <w:proofErr w:type="gramStart"/>
      <w:r w:rsidR="00BF7696">
        <w:t>particular rate</w:t>
      </w:r>
      <w:proofErr w:type="gramEnd"/>
      <w:r w:rsidR="00BF7696">
        <w:t xml:space="preserve"> of growth</w:t>
      </w:r>
      <w:r w:rsidR="00095B90">
        <w:t xml:space="preserve"> etc.).</w:t>
      </w:r>
      <w:r w:rsidR="005811EB">
        <w:t xml:space="preserve"> </w:t>
      </w:r>
      <w:r w:rsidR="005811EB" w:rsidRPr="00672D17">
        <w:rPr>
          <w:i/>
          <w:iCs/>
          <w:color w:val="A6A6A6" w:themeColor="background1" w:themeShade="A6"/>
        </w:rPr>
        <w:t>How is the ACO assisting those communities that are not on target to meet their TCOC for the remainder of the year?</w:t>
      </w:r>
    </w:p>
    <w:p w14:paraId="581FE06B" w14:textId="0E9B3E31" w:rsidR="007A1256" w:rsidRDefault="0009178C" w:rsidP="00374F3A">
      <w:pPr>
        <w:pStyle w:val="ListParagraph"/>
        <w:numPr>
          <w:ilvl w:val="0"/>
          <w:numId w:val="8"/>
        </w:numPr>
        <w:spacing w:after="0"/>
      </w:pPr>
      <w:r>
        <w:lastRenderedPageBreak/>
        <w:t xml:space="preserve">Please populate </w:t>
      </w:r>
      <w:r w:rsidRPr="00BA44B2">
        <w:rPr>
          <w:b/>
          <w:bCs/>
        </w:rPr>
        <w:t>Appendix 4.</w:t>
      </w:r>
      <w:r w:rsidR="00944D8A">
        <w:rPr>
          <w:b/>
          <w:bCs/>
        </w:rPr>
        <w:t>3</w:t>
      </w:r>
      <w:r w:rsidRPr="00BA44B2">
        <w:rPr>
          <w:b/>
          <w:bCs/>
        </w:rPr>
        <w:t xml:space="preserve">, the </w:t>
      </w:r>
      <w:r>
        <w:rPr>
          <w:b/>
          <w:bCs/>
        </w:rPr>
        <w:t>P</w:t>
      </w:r>
      <w:r w:rsidRPr="00BA44B2">
        <w:rPr>
          <w:b/>
          <w:bCs/>
        </w:rPr>
        <w:t xml:space="preserve">rojected and </w:t>
      </w:r>
      <w:r>
        <w:rPr>
          <w:b/>
          <w:bCs/>
        </w:rPr>
        <w:t>B</w:t>
      </w:r>
      <w:r w:rsidRPr="00BA44B2">
        <w:rPr>
          <w:b/>
          <w:bCs/>
        </w:rPr>
        <w:t xml:space="preserve">udgeted </w:t>
      </w:r>
      <w:r>
        <w:rPr>
          <w:b/>
          <w:bCs/>
        </w:rPr>
        <w:t>T</w:t>
      </w:r>
      <w:r w:rsidRPr="00BA44B2">
        <w:rPr>
          <w:b/>
          <w:bCs/>
        </w:rPr>
        <w:t xml:space="preserve">rend </w:t>
      </w:r>
      <w:r>
        <w:rPr>
          <w:b/>
          <w:bCs/>
        </w:rPr>
        <w:t>R</w:t>
      </w:r>
      <w:r w:rsidRPr="00BA44B2">
        <w:rPr>
          <w:b/>
          <w:bCs/>
        </w:rPr>
        <w:t xml:space="preserve">ates by </w:t>
      </w:r>
      <w:r>
        <w:rPr>
          <w:b/>
          <w:bCs/>
        </w:rPr>
        <w:t>P</w:t>
      </w:r>
      <w:r w:rsidRPr="00BA44B2">
        <w:rPr>
          <w:b/>
          <w:bCs/>
        </w:rPr>
        <w:t xml:space="preserve">ayer </w:t>
      </w:r>
      <w:r>
        <w:rPr>
          <w:b/>
          <w:bCs/>
        </w:rPr>
        <w:t>P</w:t>
      </w:r>
      <w:r w:rsidRPr="00BA44B2">
        <w:rPr>
          <w:b/>
          <w:bCs/>
        </w:rPr>
        <w:t>rogram</w:t>
      </w:r>
      <w:r>
        <w:rPr>
          <w:b/>
          <w:bCs/>
        </w:rPr>
        <w:t>,</w:t>
      </w:r>
      <w:r>
        <w:t xml:space="preserve"> </w:t>
      </w:r>
      <w:r w:rsidR="00B60B75" w:rsidRPr="00BA44B2">
        <w:rPr>
          <w:b/>
          <w:bCs/>
        </w:rPr>
        <w:t>Appendix 4.</w:t>
      </w:r>
      <w:r w:rsidR="00B60B75">
        <w:rPr>
          <w:b/>
          <w:bCs/>
        </w:rPr>
        <w:t>4</w:t>
      </w:r>
      <w:r w:rsidR="00B60B75" w:rsidRPr="00BA44B2">
        <w:rPr>
          <w:b/>
          <w:bCs/>
        </w:rPr>
        <w:t>, TCOC</w:t>
      </w:r>
      <w:r w:rsidR="00B60B75">
        <w:rPr>
          <w:b/>
          <w:bCs/>
        </w:rPr>
        <w:t xml:space="preserve"> Budget Year Targets by Payer, by HSA (2021)</w:t>
      </w:r>
      <w:r w:rsidR="001D2157">
        <w:rPr>
          <w:b/>
          <w:bCs/>
        </w:rPr>
        <w:t>, Appendix 4.5, Service Risk by Payer</w:t>
      </w:r>
      <w:r w:rsidR="00C8127E">
        <w:rPr>
          <w:b/>
          <w:bCs/>
        </w:rPr>
        <w:t xml:space="preserve">, by HSA </w:t>
      </w:r>
      <w:r>
        <w:t xml:space="preserve">and </w:t>
      </w:r>
      <w:r w:rsidR="00C27CC8">
        <w:t xml:space="preserve">explain </w:t>
      </w:r>
      <w:r w:rsidR="007A1256">
        <w:t xml:space="preserve">the following: </w:t>
      </w:r>
    </w:p>
    <w:p w14:paraId="07F2E77F" w14:textId="77777777" w:rsidR="00C27CC8" w:rsidRDefault="00C27CC8" w:rsidP="00C27CC8">
      <w:pPr>
        <w:pStyle w:val="ListParagraph"/>
        <w:numPr>
          <w:ilvl w:val="0"/>
          <w:numId w:val="0"/>
        </w:numPr>
        <w:spacing w:after="0"/>
        <w:ind w:left="720"/>
      </w:pPr>
    </w:p>
    <w:p w14:paraId="6F279F61" w14:textId="51EC4164" w:rsidR="008854F3" w:rsidRDefault="008F50FE" w:rsidP="00F7542A">
      <w:pPr>
        <w:pStyle w:val="NoSpacing"/>
        <w:numPr>
          <w:ilvl w:val="0"/>
          <w:numId w:val="21"/>
        </w:numPr>
      </w:pPr>
      <w:r>
        <w:t>All u</w:t>
      </w:r>
      <w:r w:rsidR="00214EA4">
        <w:t xml:space="preserve">nderlying assumptions for these </w:t>
      </w:r>
      <w:r w:rsidR="006B47C7">
        <w:t>trend rates</w:t>
      </w:r>
      <w:r w:rsidR="00EA7377">
        <w:t xml:space="preserve"> (Appendix 4.3 Column D</w:t>
      </w:r>
      <w:r w:rsidR="006B47C7">
        <w:t xml:space="preserve">) </w:t>
      </w:r>
      <w:r w:rsidR="00EF1CF1">
        <w:t xml:space="preserve">and </w:t>
      </w:r>
      <w:r w:rsidR="00214EA4">
        <w:t>TCOC targets</w:t>
      </w:r>
      <w:r w:rsidR="006B47C7">
        <w:t xml:space="preserve"> (Appendix 4.4)</w:t>
      </w:r>
      <w:r w:rsidR="00214EA4">
        <w:t xml:space="preserve">, including </w:t>
      </w:r>
      <w:r w:rsidR="007744B3">
        <w:t xml:space="preserve">those </w:t>
      </w:r>
      <w:r w:rsidR="00214EA4">
        <w:t>related to changes in utilization, service mix</w:t>
      </w:r>
      <w:r w:rsidR="00A07ED0">
        <w:t>, unit cost</w:t>
      </w:r>
      <w:r w:rsidR="00214EA4">
        <w:t xml:space="preserve"> etc. </w:t>
      </w:r>
      <w:r w:rsidR="008854F3">
        <w:t xml:space="preserve">noting any significant deviations from prior year. </w:t>
      </w:r>
      <w:r w:rsidR="00EA7377" w:rsidRPr="00887FA0">
        <w:t>For programs subject to rate review by the GMCB, include details about how the Board's decision factored into the assumptions for the ACO's budgeted trend.</w:t>
      </w:r>
    </w:p>
    <w:p w14:paraId="7C9EB808" w14:textId="37D1BB56" w:rsidR="000972B7" w:rsidRDefault="000972B7" w:rsidP="00F7542A">
      <w:pPr>
        <w:pStyle w:val="NoSpacing"/>
        <w:numPr>
          <w:ilvl w:val="0"/>
          <w:numId w:val="21"/>
        </w:numPr>
      </w:pPr>
      <w:r w:rsidRPr="00887FA0">
        <w:t>For each program, contrast the budgeted growth rate (</w:t>
      </w:r>
      <w:r w:rsidR="0015555D">
        <w:t>Appendix 4.3</w:t>
      </w:r>
      <w:r w:rsidR="006B47C7">
        <w:t>,</w:t>
      </w:r>
      <w:r w:rsidR="0015555D">
        <w:t xml:space="preserve"> Column D</w:t>
      </w:r>
      <w:r w:rsidRPr="00887FA0">
        <w:t>) with the expected growth trend for the ACO (</w:t>
      </w:r>
      <w:r w:rsidR="0015555D">
        <w:t>Appendix 4.3</w:t>
      </w:r>
      <w:r w:rsidR="00C178D1">
        <w:t>,</w:t>
      </w:r>
      <w:r w:rsidR="0015555D">
        <w:t xml:space="preserve"> C</w:t>
      </w:r>
      <w:r w:rsidRPr="00887FA0">
        <w:t>olumn G). Include analysis for reasons why the ACO's performance differs from the trend rates used in the budget.</w:t>
      </w:r>
      <w:r>
        <w:tab/>
      </w:r>
    </w:p>
    <w:p w14:paraId="11A12431" w14:textId="2E6A1738" w:rsidR="00C8018C" w:rsidRDefault="008F50FE" w:rsidP="00F7542A">
      <w:pPr>
        <w:pStyle w:val="NoSpacing"/>
        <w:numPr>
          <w:ilvl w:val="0"/>
          <w:numId w:val="21"/>
        </w:numPr>
      </w:pPr>
      <w:r>
        <w:t>H</w:t>
      </w:r>
      <w:r w:rsidR="00214EA4">
        <w:t>ow TCOC targets are distributed by HSA</w:t>
      </w:r>
      <w:r w:rsidR="00080EB9">
        <w:t xml:space="preserve">, including </w:t>
      </w:r>
      <w:r w:rsidR="005D0413">
        <w:t xml:space="preserve">discussion of </w:t>
      </w:r>
      <w:r w:rsidR="00080EB9">
        <w:t>the extent to which providers have control over the risk for which they are responsible</w:t>
      </w:r>
      <w:r w:rsidR="00356B9E">
        <w:t xml:space="preserve"> (</w:t>
      </w:r>
      <w:r w:rsidR="00262776">
        <w:t xml:space="preserve">please reference Appendix </w:t>
      </w:r>
      <w:r w:rsidR="00BD654E">
        <w:t>4.5</w:t>
      </w:r>
      <w:r w:rsidR="00262776">
        <w:t xml:space="preserve"> to the extent applicable)</w:t>
      </w:r>
      <w:r w:rsidR="00C8018C">
        <w:t>.</w:t>
      </w:r>
    </w:p>
    <w:p w14:paraId="0D5B4F21" w14:textId="7F593EF1" w:rsidR="00BC774A" w:rsidRDefault="004117D5" w:rsidP="00F7542A">
      <w:pPr>
        <w:pStyle w:val="NoSpacing"/>
        <w:numPr>
          <w:ilvl w:val="0"/>
          <w:numId w:val="21"/>
        </w:numPr>
      </w:pPr>
      <w:r>
        <w:t xml:space="preserve">Recognizing that COVID-19 has resulted in unexpected utilization trends that could continue into 2021, what assumptions are you making around </w:t>
      </w:r>
      <w:r w:rsidR="00C6080F">
        <w:t>fluctuating utilization estimates,</w:t>
      </w:r>
      <w:r>
        <w:t xml:space="preserve"> or a</w:t>
      </w:r>
      <w:r w:rsidR="00BC774A">
        <w:t>ny</w:t>
      </w:r>
      <w:r>
        <w:t xml:space="preserve"> other</w:t>
      </w:r>
      <w:r w:rsidR="00BC774A">
        <w:t xml:space="preserve"> factors that could result in material changes to these budgeted figures and </w:t>
      </w:r>
      <w:r w:rsidR="00CD437E">
        <w:t xml:space="preserve">what is </w:t>
      </w:r>
      <w:r w:rsidR="00BC774A">
        <w:t>the anticipated impact to the proposed budget.</w:t>
      </w:r>
    </w:p>
    <w:p w14:paraId="24308343" w14:textId="5C551F46" w:rsidR="00F7542A" w:rsidRDefault="00CD5D8A" w:rsidP="00F7542A">
      <w:pPr>
        <w:pStyle w:val="NoSpacing"/>
        <w:numPr>
          <w:ilvl w:val="0"/>
          <w:numId w:val="21"/>
        </w:numPr>
      </w:pPr>
      <w:r>
        <w:t>H</w:t>
      </w:r>
      <w:r w:rsidR="00BC774A">
        <w:t>ow the</w:t>
      </w:r>
      <w:r>
        <w:t xml:space="preserve">se </w:t>
      </w:r>
      <w:r w:rsidR="00A72D42">
        <w:t xml:space="preserve">growth rates and </w:t>
      </w:r>
      <w:r w:rsidR="00BC774A">
        <w:t>targets support the All Payer Model goal to manage overall health care cost growth to be in line with that of the Vermont economy.</w:t>
      </w:r>
    </w:p>
    <w:p w14:paraId="489DAD13" w14:textId="77777777" w:rsidR="00F7542A" w:rsidRPr="00BC774A" w:rsidRDefault="00F7542A" w:rsidP="00F7542A">
      <w:pPr>
        <w:pStyle w:val="NoSpacing"/>
        <w:ind w:left="1440"/>
      </w:pPr>
    </w:p>
    <w:p w14:paraId="09B47C63" w14:textId="1F3F6D5A" w:rsidR="00A45671" w:rsidRDefault="00A45671" w:rsidP="00A55929">
      <w:pPr>
        <w:pStyle w:val="Heading2"/>
        <w:keepNext/>
        <w:spacing w:line="240" w:lineRule="auto"/>
      </w:pPr>
      <w:bookmarkStart w:id="12" w:name="_Toc42002464"/>
      <w:r>
        <w:t>Section 5: Risk Management</w:t>
      </w:r>
      <w:bookmarkEnd w:id="12"/>
    </w:p>
    <w:p w14:paraId="1913715D" w14:textId="3BBE77B7" w:rsidR="008348FF" w:rsidRDefault="00A45671" w:rsidP="00374F3A">
      <w:pPr>
        <w:pStyle w:val="NoSpacing"/>
        <w:numPr>
          <w:ilvl w:val="0"/>
          <w:numId w:val="17"/>
        </w:numPr>
      </w:pPr>
      <w:r>
        <w:t xml:space="preserve">Populate </w:t>
      </w:r>
      <w:r w:rsidR="00705934" w:rsidRPr="00005516">
        <w:rPr>
          <w:b/>
          <w:bCs/>
        </w:rPr>
        <w:t>Appendix 5.1</w:t>
      </w:r>
      <w:r w:rsidR="00005516" w:rsidRPr="00005516">
        <w:rPr>
          <w:b/>
          <w:bCs/>
        </w:rPr>
        <w:t xml:space="preserve">, </w:t>
      </w:r>
      <w:r w:rsidR="00D71FEA">
        <w:rPr>
          <w:b/>
          <w:bCs/>
        </w:rPr>
        <w:t>ACO Risk by Payer</w:t>
      </w:r>
      <w:r w:rsidR="00805125">
        <w:rPr>
          <w:b/>
          <w:bCs/>
        </w:rPr>
        <w:t xml:space="preserve">, Appendix 5.2, </w:t>
      </w:r>
      <w:r w:rsidR="00005516" w:rsidRPr="00005516">
        <w:rPr>
          <w:b/>
          <w:bCs/>
        </w:rPr>
        <w:t xml:space="preserve">Risk by Payer by </w:t>
      </w:r>
      <w:r w:rsidR="00A15B92">
        <w:rPr>
          <w:b/>
          <w:bCs/>
        </w:rPr>
        <w:t xml:space="preserve">Risk-bearing </w:t>
      </w:r>
      <w:r w:rsidR="00C51149">
        <w:rPr>
          <w:b/>
          <w:bCs/>
        </w:rPr>
        <w:t>En</w:t>
      </w:r>
      <w:r w:rsidR="00A15B92">
        <w:rPr>
          <w:b/>
          <w:bCs/>
        </w:rPr>
        <w:t>tity</w:t>
      </w:r>
      <w:r w:rsidR="001122B7">
        <w:rPr>
          <w:b/>
          <w:bCs/>
        </w:rPr>
        <w:t xml:space="preserve"> </w:t>
      </w:r>
      <w:r w:rsidR="001E57D6">
        <w:t>for the budget year</w:t>
      </w:r>
      <w:r w:rsidR="00E06EF8">
        <w:t xml:space="preserve"> and explain </w:t>
      </w:r>
      <w:r w:rsidR="00B055F4" w:rsidRPr="006A721B">
        <w:t xml:space="preserve">how the ACO would manage the financial liability for </w:t>
      </w:r>
      <w:r w:rsidR="00987129">
        <w:t xml:space="preserve">the </w:t>
      </w:r>
      <w:r w:rsidR="00B872B4">
        <w:t xml:space="preserve">risk included in the ACOs payer program agreements for the </w:t>
      </w:r>
      <w:r w:rsidR="00987129">
        <w:t>proposed budget year</w:t>
      </w:r>
      <w:r w:rsidR="00B055F4" w:rsidRPr="006A721B">
        <w:t xml:space="preserve"> should the ACO’s losses equal 100% of maximum downside exposure</w:t>
      </w:r>
      <w:r w:rsidR="003D3404">
        <w:t xml:space="preserve">. </w:t>
      </w:r>
      <w:r w:rsidR="008348FF">
        <w:t>In doing so, pl</w:t>
      </w:r>
      <w:r w:rsidR="003D3404">
        <w:t xml:space="preserve">ease </w:t>
      </w:r>
      <w:r w:rsidR="008348FF">
        <w:t>discuss the following:</w:t>
      </w:r>
    </w:p>
    <w:p w14:paraId="44FFCD6F" w14:textId="53679022" w:rsidR="008348FF" w:rsidRDefault="008348FF" w:rsidP="00374F3A">
      <w:pPr>
        <w:pStyle w:val="NoSpacing"/>
        <w:numPr>
          <w:ilvl w:val="1"/>
          <w:numId w:val="17"/>
        </w:numPr>
      </w:pPr>
      <w:r>
        <w:t>A</w:t>
      </w:r>
      <w:r w:rsidR="003E1FF8">
        <w:t>ny significant changes over prior year and the rationale for such</w:t>
      </w:r>
      <w:r w:rsidR="00A07ED0">
        <w:t>, including changes due to COVID-19</w:t>
      </w:r>
      <w:r w:rsidR="003E1FF8">
        <w:t>.</w:t>
      </w:r>
    </w:p>
    <w:p w14:paraId="300FD84B" w14:textId="6CB30C3C" w:rsidR="007259B4" w:rsidRDefault="008348FF" w:rsidP="00374F3A">
      <w:pPr>
        <w:pStyle w:val="NoSpacing"/>
        <w:numPr>
          <w:ilvl w:val="1"/>
          <w:numId w:val="17"/>
        </w:numPr>
      </w:pPr>
      <w:r>
        <w:t xml:space="preserve">If any risk is retained by the ACO or the founders, what is this risk associated with, and how much, and how </w:t>
      </w:r>
      <w:r w:rsidR="00DD5AA1">
        <w:t>is this obligation funded</w:t>
      </w:r>
      <w:r w:rsidR="00AF633A">
        <w:t xml:space="preserve"> (reserves, collateral, other liquid </w:t>
      </w:r>
      <w:r w:rsidR="00CD50A0">
        <w:t>security</w:t>
      </w:r>
      <w:r w:rsidR="00AF633A">
        <w:t xml:space="preserve">, reinsurance, </w:t>
      </w:r>
      <w:r w:rsidR="00CD50A0">
        <w:t>payer withholds, commitment to pay at settlement etc.)</w:t>
      </w:r>
      <w:r w:rsidR="00DD5AA1">
        <w:t>?</w:t>
      </w:r>
      <w:r w:rsidR="003E1FF8">
        <w:t xml:space="preserve"> </w:t>
      </w:r>
      <w:r w:rsidR="00005516">
        <w:t xml:space="preserve"> </w:t>
      </w:r>
    </w:p>
    <w:p w14:paraId="1E580CBD" w14:textId="7F2CC60E" w:rsidR="007259B4" w:rsidRDefault="007259B4" w:rsidP="00374F3A">
      <w:pPr>
        <w:pStyle w:val="NoSpacing"/>
        <w:numPr>
          <w:ilvl w:val="1"/>
          <w:numId w:val="17"/>
        </w:numPr>
      </w:pPr>
      <w:r>
        <w:t>Does the ACO intent to purchase any third-party risk protection? If so</w:t>
      </w:r>
      <w:r w:rsidR="00CB7994">
        <w:t>:</w:t>
      </w:r>
    </w:p>
    <w:p w14:paraId="32ED78EA" w14:textId="73B70663" w:rsidR="007259B4" w:rsidRDefault="007259B4" w:rsidP="00374F3A">
      <w:pPr>
        <w:pStyle w:val="NoSpacing"/>
        <w:numPr>
          <w:ilvl w:val="2"/>
          <w:numId w:val="17"/>
        </w:numPr>
      </w:pPr>
      <w:r>
        <w:t>Explain the nature of the arrangement</w:t>
      </w:r>
      <w:r w:rsidR="00CB7994">
        <w:t>.</w:t>
      </w:r>
    </w:p>
    <w:p w14:paraId="5B448312" w14:textId="77777777" w:rsidR="007259B4" w:rsidRDefault="007259B4" w:rsidP="00374F3A">
      <w:pPr>
        <w:pStyle w:val="NoSpacing"/>
        <w:numPr>
          <w:ilvl w:val="2"/>
          <w:numId w:val="17"/>
        </w:numPr>
      </w:pPr>
      <w:r>
        <w:t>How does the anticipated protection compare to prior years?</w:t>
      </w:r>
    </w:p>
    <w:p w14:paraId="6E65301D" w14:textId="77777777" w:rsidR="007259B4" w:rsidRDefault="007259B4" w:rsidP="00374F3A">
      <w:pPr>
        <w:pStyle w:val="NoSpacing"/>
        <w:numPr>
          <w:ilvl w:val="2"/>
          <w:numId w:val="17"/>
        </w:numPr>
      </w:pPr>
      <w:r>
        <w:t>How much of the downside risk would be covered?</w:t>
      </w:r>
    </w:p>
    <w:p w14:paraId="5F52E44B" w14:textId="4658BCD1" w:rsidR="00A45671" w:rsidRDefault="007259B4" w:rsidP="00374F3A">
      <w:pPr>
        <w:pStyle w:val="NoSpacing"/>
        <w:numPr>
          <w:ilvl w:val="2"/>
          <w:numId w:val="17"/>
        </w:numPr>
      </w:pPr>
      <w:r>
        <w:t>Which programs would have this protection?</w:t>
      </w:r>
    </w:p>
    <w:p w14:paraId="0A08252A" w14:textId="5FE23866" w:rsidR="002A18BC" w:rsidRDefault="002A18BC" w:rsidP="00374F3A">
      <w:pPr>
        <w:pStyle w:val="NoSpacing"/>
        <w:numPr>
          <w:ilvl w:val="1"/>
          <w:numId w:val="17"/>
        </w:numPr>
      </w:pPr>
      <w:r>
        <w:t>If applicable, explain the nature and magnitude of any</w:t>
      </w:r>
      <w:r w:rsidR="00D12B5D">
        <w:t xml:space="preserve"> solvency or</w:t>
      </w:r>
      <w:r>
        <w:t xml:space="preserve"> financial guarantee requirements imposed through payer contract arrangements and how the ACO aims to satisfy those requirements.</w:t>
      </w:r>
    </w:p>
    <w:p w14:paraId="34B91ED2" w14:textId="31A1A3CD" w:rsidR="002A18BC" w:rsidRDefault="002A18BC" w:rsidP="00374F3A">
      <w:pPr>
        <w:pStyle w:val="NoSpacing"/>
        <w:numPr>
          <w:ilvl w:val="1"/>
          <w:numId w:val="17"/>
        </w:numPr>
      </w:pPr>
      <w:r>
        <w:t>Explain any other risk management strategies or arrangements that affect either aggregate ACO risk or individual provider risk.</w:t>
      </w:r>
    </w:p>
    <w:p w14:paraId="55506A94" w14:textId="77777777" w:rsidR="007259B4" w:rsidRDefault="007259B4" w:rsidP="007259B4">
      <w:pPr>
        <w:pStyle w:val="NoSpacing"/>
        <w:ind w:left="1440"/>
      </w:pPr>
    </w:p>
    <w:p w14:paraId="6ED8739B" w14:textId="5BCE682E" w:rsidR="00791C75" w:rsidRDefault="00791C75" w:rsidP="00791C75">
      <w:pPr>
        <w:pStyle w:val="ListParagraph"/>
        <w:numPr>
          <w:ilvl w:val="0"/>
          <w:numId w:val="17"/>
        </w:numPr>
      </w:pPr>
      <w:r>
        <w:t>Please complete</w:t>
      </w:r>
      <w:r w:rsidRPr="007A3763">
        <w:rPr>
          <w:b/>
          <w:bCs/>
        </w:rPr>
        <w:t xml:space="preserve"> Appendix 5.3, Shared Savings and Losses</w:t>
      </w:r>
      <w:r>
        <w:t xml:space="preserve"> and describe the actual or expected distribution of earned shared savings or losses, in the prior year (2019), in the current year (2020) </w:t>
      </w:r>
      <w:r>
        <w:lastRenderedPageBreak/>
        <w:t>and in the proposed budget year (2021), noting any significant changes in methodology or practice over time.</w:t>
      </w:r>
    </w:p>
    <w:p w14:paraId="05F398B0" w14:textId="6BC05C78" w:rsidR="005167CA" w:rsidRPr="00A45671" w:rsidRDefault="005167CA" w:rsidP="00374F3A">
      <w:pPr>
        <w:pStyle w:val="ListParagraph"/>
        <w:numPr>
          <w:ilvl w:val="0"/>
          <w:numId w:val="17"/>
        </w:numPr>
      </w:pPr>
      <w:r w:rsidRPr="006A721B">
        <w:t>Provide any further documentation (i.e. policies) for the ACO’s management of financial risk.</w:t>
      </w:r>
    </w:p>
    <w:p w14:paraId="61C5A431" w14:textId="4DC8AFB4" w:rsidR="003C77EE" w:rsidRDefault="006A721B" w:rsidP="00A55929">
      <w:pPr>
        <w:pStyle w:val="Heading2"/>
        <w:keepNext/>
        <w:spacing w:line="240" w:lineRule="auto"/>
      </w:pPr>
      <w:bookmarkStart w:id="13" w:name="_Toc42002465"/>
      <w:r>
        <w:t xml:space="preserve">Section </w:t>
      </w:r>
      <w:r w:rsidR="00C6731E">
        <w:t>6</w:t>
      </w:r>
      <w:r>
        <w:t>: ACO Budget</w:t>
      </w:r>
      <w:bookmarkEnd w:id="13"/>
    </w:p>
    <w:p w14:paraId="0A3132C7" w14:textId="39EA41EE" w:rsidR="006A721B" w:rsidRDefault="006A721B" w:rsidP="00374F3A">
      <w:pPr>
        <w:pStyle w:val="ListParagraph"/>
        <w:keepNext/>
        <w:numPr>
          <w:ilvl w:val="0"/>
          <w:numId w:val="9"/>
        </w:numPr>
      </w:pPr>
      <w:r w:rsidRPr="006A721B">
        <w:t xml:space="preserve">Complete the GMCB financial statement </w:t>
      </w:r>
      <w:r w:rsidR="00E41BC1">
        <w:t>sheets in Adaptive, including Income Statement, Balance Sheet, and Cash Flow</w:t>
      </w:r>
      <w:r w:rsidR="00F706F9">
        <w:t xml:space="preserve">. Sheets in Adaptive: </w:t>
      </w:r>
      <w:r w:rsidR="00F706F9" w:rsidRPr="00CE52AC">
        <w:rPr>
          <w:i/>
        </w:rPr>
        <w:t>A1a-Income Statement (All Accounts); A1b-Income Statement (Excl. Pass-Thru); A2-Balance Sheet; A3-Cash Flow</w:t>
      </w:r>
      <w:r w:rsidR="00F706F9">
        <w:t xml:space="preserve">. Excel versions are </w:t>
      </w:r>
      <w:r w:rsidRPr="00CE52AC">
        <w:rPr>
          <w:b/>
        </w:rPr>
        <w:t xml:space="preserve">Appendices </w:t>
      </w:r>
      <w:r w:rsidR="00DB1949">
        <w:rPr>
          <w:b/>
        </w:rPr>
        <w:t>6</w:t>
      </w:r>
      <w:r w:rsidRPr="00CE52AC">
        <w:rPr>
          <w:b/>
        </w:rPr>
        <w:t>.1-</w:t>
      </w:r>
      <w:r w:rsidR="00DB1949">
        <w:rPr>
          <w:b/>
        </w:rPr>
        <w:t>6</w:t>
      </w:r>
      <w:r w:rsidRPr="00CE52AC">
        <w:rPr>
          <w:b/>
        </w:rPr>
        <w:t>.3</w:t>
      </w:r>
      <w:r w:rsidR="00C624C8">
        <w:t>, for reference</w:t>
      </w:r>
      <w:r w:rsidRPr="006A721B">
        <w:t>.</w:t>
      </w:r>
      <w:r w:rsidR="00220C86">
        <w:t xml:space="preserve"> Please also fill out </w:t>
      </w:r>
      <w:r w:rsidR="00220C86" w:rsidRPr="006A4224">
        <w:rPr>
          <w:b/>
          <w:bCs/>
        </w:rPr>
        <w:t xml:space="preserve">Appendix </w:t>
      </w:r>
      <w:r w:rsidR="005621B6" w:rsidRPr="006A4224">
        <w:rPr>
          <w:b/>
          <w:bCs/>
        </w:rPr>
        <w:t>6.</w:t>
      </w:r>
      <w:r w:rsidR="00995FCE" w:rsidRPr="006A4224">
        <w:rPr>
          <w:b/>
          <w:bCs/>
        </w:rPr>
        <w:t>4, Sources and Uses</w:t>
      </w:r>
      <w:r w:rsidR="00995FCE">
        <w:t xml:space="preserve"> and </w:t>
      </w:r>
      <w:r w:rsidR="00995FCE" w:rsidRPr="006A4224">
        <w:rPr>
          <w:b/>
          <w:bCs/>
        </w:rPr>
        <w:t xml:space="preserve">Appendix </w:t>
      </w:r>
      <w:r w:rsidR="00DB1949" w:rsidRPr="006A4224">
        <w:rPr>
          <w:b/>
          <w:bCs/>
        </w:rPr>
        <w:t>6</w:t>
      </w:r>
      <w:r w:rsidR="00220C86" w:rsidRPr="006A4224">
        <w:rPr>
          <w:b/>
          <w:bCs/>
        </w:rPr>
        <w:t>.5</w:t>
      </w:r>
      <w:r w:rsidR="006A4224" w:rsidRPr="006A4224">
        <w:rPr>
          <w:b/>
          <w:bCs/>
        </w:rPr>
        <w:t>,</w:t>
      </w:r>
      <w:r w:rsidR="00220C86" w:rsidRPr="006A4224">
        <w:rPr>
          <w:b/>
          <w:bCs/>
        </w:rPr>
        <w:t xml:space="preserve"> </w:t>
      </w:r>
      <w:r w:rsidR="00B21B9F" w:rsidRPr="006A4224">
        <w:rPr>
          <w:b/>
          <w:bCs/>
        </w:rPr>
        <w:t>Per Member Per Month</w:t>
      </w:r>
      <w:r w:rsidR="00220C86" w:rsidRPr="006A4224">
        <w:rPr>
          <w:b/>
          <w:bCs/>
        </w:rPr>
        <w:t xml:space="preserve"> </w:t>
      </w:r>
      <w:r w:rsidR="00B21B9F" w:rsidRPr="006A4224">
        <w:rPr>
          <w:b/>
          <w:bCs/>
        </w:rPr>
        <w:t>R</w:t>
      </w:r>
      <w:r w:rsidR="00220C86" w:rsidRPr="006A4224">
        <w:rPr>
          <w:b/>
          <w:bCs/>
        </w:rPr>
        <w:t xml:space="preserve">evenues by </w:t>
      </w:r>
      <w:r w:rsidR="00B21B9F" w:rsidRPr="006A4224">
        <w:rPr>
          <w:b/>
          <w:bCs/>
        </w:rPr>
        <w:t>P</w:t>
      </w:r>
      <w:r w:rsidR="00220C86" w:rsidRPr="006A4224">
        <w:rPr>
          <w:b/>
          <w:bCs/>
        </w:rPr>
        <w:t>ayer</w:t>
      </w:r>
      <w:r w:rsidR="00F36644">
        <w:t>.</w:t>
      </w:r>
    </w:p>
    <w:p w14:paraId="67DAAAED" w14:textId="5B0407F7" w:rsidR="00220C86" w:rsidRDefault="00220C86" w:rsidP="00374F3A">
      <w:pPr>
        <w:pStyle w:val="ListParagraph"/>
        <w:keepNext/>
        <w:numPr>
          <w:ilvl w:val="0"/>
          <w:numId w:val="9"/>
        </w:numPr>
      </w:pPr>
      <w:r>
        <w:t>Revenues</w:t>
      </w:r>
      <w:r w:rsidR="00FE2C58">
        <w:t xml:space="preserve">: </w:t>
      </w:r>
      <w:r w:rsidR="00C95F82">
        <w:t xml:space="preserve">Please explain any </w:t>
      </w:r>
      <w:r w:rsidR="00B53FF7">
        <w:t xml:space="preserve">line item </w:t>
      </w:r>
      <w:r w:rsidR="00C95F82">
        <w:t>variations</w:t>
      </w:r>
      <w:r w:rsidR="00981952">
        <w:t xml:space="preserve"> </w:t>
      </w:r>
      <w:r w:rsidR="00FE53DB">
        <w:t>greater than 1</w:t>
      </w:r>
      <w:r w:rsidR="00EC6301">
        <w:t>0</w:t>
      </w:r>
      <w:r w:rsidR="00FE53DB">
        <w:t>%</w:t>
      </w:r>
      <w:r w:rsidR="00CC445E">
        <w:t xml:space="preserve"> </w:t>
      </w:r>
      <w:r w:rsidR="00C95F82">
        <w:t xml:space="preserve">evident on your budgeted income statement as compared to prior year projected actuals and prior year </w:t>
      </w:r>
      <w:r w:rsidR="00D94D7C">
        <w:t xml:space="preserve">revised </w:t>
      </w:r>
      <w:r w:rsidR="00C95F82">
        <w:t xml:space="preserve">budget. Please also explain: </w:t>
      </w:r>
    </w:p>
    <w:p w14:paraId="51CE4ED8" w14:textId="60716EED" w:rsidR="00C95F82" w:rsidRDefault="003662E1" w:rsidP="00374F3A">
      <w:pPr>
        <w:pStyle w:val="NoSpacing"/>
        <w:numPr>
          <w:ilvl w:val="0"/>
          <w:numId w:val="12"/>
        </w:numPr>
      </w:pPr>
      <w:r>
        <w:t>A</w:t>
      </w:r>
      <w:r w:rsidR="00C95F82">
        <w:t xml:space="preserve">ny significant risks associated with the budgeted revenue sources. If substantial risk exists, explain how the ACO would respond. </w:t>
      </w:r>
    </w:p>
    <w:p w14:paraId="6D5673C4" w14:textId="3E1D9782" w:rsidR="00C95F82" w:rsidRDefault="003662E1" w:rsidP="00374F3A">
      <w:pPr>
        <w:pStyle w:val="NoSpacing"/>
        <w:numPr>
          <w:ilvl w:val="0"/>
          <w:numId w:val="12"/>
        </w:numPr>
      </w:pPr>
      <w:r>
        <w:t>B</w:t>
      </w:r>
      <w:r w:rsidR="00C95F82">
        <w:t xml:space="preserve">udgeted contracted payer contributions to the ACO as well as any significant changes from the prior year. </w:t>
      </w:r>
    </w:p>
    <w:p w14:paraId="248CBCD7" w14:textId="12837415" w:rsidR="00C95F82" w:rsidRDefault="003662E1" w:rsidP="00374F3A">
      <w:pPr>
        <w:pStyle w:val="NoSpacing"/>
        <w:numPr>
          <w:ilvl w:val="0"/>
          <w:numId w:val="12"/>
        </w:numPr>
      </w:pPr>
      <w:r>
        <w:t>B</w:t>
      </w:r>
      <w:r w:rsidR="00C95F82">
        <w:t>u</w:t>
      </w:r>
      <w:r w:rsidR="004E543B">
        <w:t>d</w:t>
      </w:r>
      <w:r w:rsidR="00C95F82">
        <w:t xml:space="preserve">geted provider contributions to the ACO as well as any significant changes from the prior year. </w:t>
      </w:r>
    </w:p>
    <w:p w14:paraId="478D1669" w14:textId="4113A5B9" w:rsidR="00C95F82" w:rsidRDefault="003662E1" w:rsidP="00374F3A">
      <w:pPr>
        <w:pStyle w:val="NoSpacing"/>
        <w:numPr>
          <w:ilvl w:val="0"/>
          <w:numId w:val="12"/>
        </w:numPr>
      </w:pPr>
      <w:r>
        <w:t>B</w:t>
      </w:r>
      <w:r w:rsidR="00C95F82">
        <w:t xml:space="preserve">udgeted governmental/public contributions as well as any significant changes from the prior year. </w:t>
      </w:r>
    </w:p>
    <w:p w14:paraId="36997B73" w14:textId="77777777" w:rsidR="004977A6" w:rsidRDefault="004977A6" w:rsidP="004977A6">
      <w:pPr>
        <w:pStyle w:val="NoSpacing"/>
        <w:ind w:left="1080"/>
      </w:pPr>
    </w:p>
    <w:p w14:paraId="7E47202D" w14:textId="48B3A93C" w:rsidR="009A213F" w:rsidRDefault="00220C86" w:rsidP="00374F3A">
      <w:pPr>
        <w:pStyle w:val="ListParagraph"/>
        <w:keepNext/>
        <w:numPr>
          <w:ilvl w:val="0"/>
          <w:numId w:val="9"/>
        </w:numPr>
      </w:pPr>
      <w:r>
        <w:t>Expenditures</w:t>
      </w:r>
      <w:r w:rsidR="00FE2C58">
        <w:t xml:space="preserve">: </w:t>
      </w:r>
      <w:r w:rsidR="004977A6">
        <w:t>Please explain any</w:t>
      </w:r>
      <w:r w:rsidR="00B53FF7">
        <w:t xml:space="preserve"> line item</w:t>
      </w:r>
      <w:r w:rsidR="004977A6">
        <w:t xml:space="preserve"> variations </w:t>
      </w:r>
      <w:r w:rsidR="00FE53DB">
        <w:t>greater than 1</w:t>
      </w:r>
      <w:r w:rsidR="00EC6301">
        <w:t>0</w:t>
      </w:r>
      <w:r w:rsidR="00FE53DB">
        <w:t>%</w:t>
      </w:r>
      <w:r w:rsidR="00CC445E">
        <w:t xml:space="preserve"> </w:t>
      </w:r>
      <w:r w:rsidR="00EF1B5A">
        <w:t xml:space="preserve">and </w:t>
      </w:r>
      <w:r w:rsidR="00CC445E">
        <w:t>$</w:t>
      </w:r>
      <w:r w:rsidR="00981952">
        <w:t>10</w:t>
      </w:r>
      <w:r w:rsidR="0089491B">
        <w:t>0</w:t>
      </w:r>
      <w:r w:rsidR="0005159C">
        <w:t>,000</w:t>
      </w:r>
      <w:r w:rsidR="00FE53DB">
        <w:t xml:space="preserve"> </w:t>
      </w:r>
      <w:r w:rsidR="004977A6">
        <w:t xml:space="preserve">evident on your budgeted income statement as compared to prior year projected actuals and prior year </w:t>
      </w:r>
      <w:r w:rsidR="00D94D7C">
        <w:t xml:space="preserve">revised </w:t>
      </w:r>
      <w:r w:rsidR="004977A6">
        <w:t>budget</w:t>
      </w:r>
      <w:r w:rsidR="009A213F">
        <w:t>. Please also explain:</w:t>
      </w:r>
    </w:p>
    <w:p w14:paraId="66538BE7" w14:textId="2476F254" w:rsidR="009A213F" w:rsidRDefault="003662E1" w:rsidP="00374F3A">
      <w:pPr>
        <w:pStyle w:val="NoSpacing"/>
        <w:numPr>
          <w:ilvl w:val="0"/>
          <w:numId w:val="13"/>
        </w:numPr>
      </w:pPr>
      <w:r>
        <w:t>A</w:t>
      </w:r>
      <w:r w:rsidR="009A213F">
        <w:t xml:space="preserve">ny significant changes to the population health </w:t>
      </w:r>
      <w:proofErr w:type="gramStart"/>
      <w:r w:rsidR="009A213F">
        <w:t>programs</w:t>
      </w:r>
      <w:proofErr w:type="gramEnd"/>
      <w:r w:rsidR="009A213F">
        <w:t xml:space="preserve"> and/or care model</w:t>
      </w:r>
      <w:r>
        <w:t>,</w:t>
      </w:r>
      <w:r w:rsidRPr="003662E1">
        <w:t xml:space="preserve"> </w:t>
      </w:r>
      <w:r>
        <w:t>including temporary or permanent changes due to COVID-19,</w:t>
      </w:r>
      <w:r w:rsidR="009A213F">
        <w:t xml:space="preserve"> and the budgeted impact on expenses.</w:t>
      </w:r>
    </w:p>
    <w:p w14:paraId="75005D8E" w14:textId="5E1455BA" w:rsidR="009A213F" w:rsidRDefault="003662E1" w:rsidP="00374F3A">
      <w:pPr>
        <w:pStyle w:val="NoSpacing"/>
        <w:numPr>
          <w:ilvl w:val="0"/>
          <w:numId w:val="13"/>
        </w:numPr>
      </w:pPr>
      <w:r>
        <w:t>H</w:t>
      </w:r>
      <w:r w:rsidR="006156CC">
        <w:t xml:space="preserve">ow this budget </w:t>
      </w:r>
      <w:r w:rsidR="00827BBA">
        <w:t>is affected by</w:t>
      </w:r>
      <w:r w:rsidR="006156CC">
        <w:t xml:space="preserve"> any significant changes to</w:t>
      </w:r>
      <w:r w:rsidR="009A213F">
        <w:t xml:space="preserve"> clinical </w:t>
      </w:r>
      <w:r w:rsidR="00FB17A7">
        <w:t xml:space="preserve">and quality </w:t>
      </w:r>
      <w:r w:rsidR="009A213F">
        <w:t xml:space="preserve">priorities for the </w:t>
      </w:r>
      <w:r w:rsidR="006156CC">
        <w:t>year</w:t>
      </w:r>
      <w:r w:rsidR="00CE60F0">
        <w:t>.</w:t>
      </w:r>
    </w:p>
    <w:p w14:paraId="16EF227E" w14:textId="4023E7E2" w:rsidR="009A213F" w:rsidRDefault="003662E1" w:rsidP="00374F3A">
      <w:pPr>
        <w:pStyle w:val="NoSpacing"/>
        <w:numPr>
          <w:ilvl w:val="0"/>
          <w:numId w:val="13"/>
        </w:numPr>
      </w:pPr>
      <w:r>
        <w:t>A</w:t>
      </w:r>
      <w:r w:rsidR="009A213F">
        <w:t xml:space="preserve">ny </w:t>
      </w:r>
      <w:r w:rsidR="00FB17A7">
        <w:t xml:space="preserve">changes, including </w:t>
      </w:r>
      <w:r w:rsidR="009A213F">
        <w:t xml:space="preserve">significant </w:t>
      </w:r>
      <w:r w:rsidR="00FB17A7">
        <w:t>new investments</w:t>
      </w:r>
      <w:r w:rsidR="009A213F">
        <w:t xml:space="preserve"> to the ACO</w:t>
      </w:r>
      <w:r w:rsidR="00827BBA">
        <w:t>’s</w:t>
      </w:r>
      <w:r w:rsidR="009A213F">
        <w:t xml:space="preserve"> infrastructure and the budgeted impact on expenses</w:t>
      </w:r>
      <w:r w:rsidR="00FB17A7">
        <w:t>.</w:t>
      </w:r>
    </w:p>
    <w:p w14:paraId="62C3F246" w14:textId="3C83A26B" w:rsidR="009A213F" w:rsidRDefault="009A213F" w:rsidP="00374F3A">
      <w:pPr>
        <w:pStyle w:val="NoSpacing"/>
        <w:numPr>
          <w:ilvl w:val="0"/>
          <w:numId w:val="13"/>
        </w:numPr>
      </w:pPr>
      <w:r>
        <w:t xml:space="preserve">If applicable, how Delivery System Reform funds are being utilized in the proposed budget. </w:t>
      </w:r>
    </w:p>
    <w:p w14:paraId="230449F9" w14:textId="15FC73A5" w:rsidR="00F36644" w:rsidRDefault="003662E1" w:rsidP="00374F3A">
      <w:pPr>
        <w:pStyle w:val="NoSpacing"/>
        <w:numPr>
          <w:ilvl w:val="0"/>
          <w:numId w:val="13"/>
        </w:numPr>
      </w:pPr>
      <w:r>
        <w:t>W</w:t>
      </w:r>
      <w:r w:rsidR="00741038">
        <w:t>hether and how</w:t>
      </w:r>
      <w:r w:rsidR="0029317E">
        <w:t xml:space="preserve"> this </w:t>
      </w:r>
      <w:r w:rsidR="001501B0">
        <w:t xml:space="preserve">budget </w:t>
      </w:r>
      <w:r w:rsidR="0029127D">
        <w:t>supports</w:t>
      </w:r>
      <w:r w:rsidR="00741038">
        <w:t xml:space="preserve"> </w:t>
      </w:r>
      <w:r w:rsidR="00297413">
        <w:t xml:space="preserve">the </w:t>
      </w:r>
      <w:r w:rsidR="0029127D">
        <w:t>maintenance</w:t>
      </w:r>
      <w:r w:rsidR="00297413">
        <w:t xml:space="preserve"> or improvement of the</w:t>
      </w:r>
      <w:r w:rsidR="0029317E">
        <w:t xml:space="preserve"> ACO</w:t>
      </w:r>
      <w:r w:rsidR="00297413">
        <w:t>’</w:t>
      </w:r>
      <w:r w:rsidR="0029317E">
        <w:t xml:space="preserve">s health information technology system and the drivers of </w:t>
      </w:r>
      <w:r w:rsidR="0029127D">
        <w:t>these investments (provider feedback, payer contract etc.).</w:t>
      </w:r>
    </w:p>
    <w:p w14:paraId="314034BA" w14:textId="77777777" w:rsidR="009A213F" w:rsidRDefault="009A213F" w:rsidP="009A213F">
      <w:pPr>
        <w:pStyle w:val="NoSpacing"/>
        <w:ind w:left="720"/>
      </w:pPr>
    </w:p>
    <w:p w14:paraId="5B20DA56" w14:textId="727DEFC4" w:rsidR="00F36644" w:rsidRDefault="0043008F" w:rsidP="00374F3A">
      <w:pPr>
        <w:pStyle w:val="ListParagraph"/>
        <w:numPr>
          <w:ilvl w:val="0"/>
          <w:numId w:val="9"/>
        </w:numPr>
      </w:pPr>
      <w:r>
        <w:t>If the budget includes a gain or a loss, please provide a rationale</w:t>
      </w:r>
      <w:r w:rsidR="00CA2E81">
        <w:t>. Otherwise please explain how to balance to a break-even budget (surplus to reserves etc.).</w:t>
      </w:r>
    </w:p>
    <w:p w14:paraId="565125D3" w14:textId="4BD80B29" w:rsidR="00CC445E" w:rsidRDefault="00CC445E" w:rsidP="00374F3A">
      <w:pPr>
        <w:pStyle w:val="ListParagraph"/>
        <w:numPr>
          <w:ilvl w:val="0"/>
          <w:numId w:val="9"/>
        </w:numPr>
      </w:pPr>
      <w:r>
        <w:t>Balance Sheet</w:t>
      </w:r>
      <w:r w:rsidR="00CB7C3F">
        <w:t>: Please explain any variations greater than 1</w:t>
      </w:r>
      <w:r w:rsidR="00CA2E81">
        <w:t>0</w:t>
      </w:r>
      <w:r w:rsidR="00CB7C3F">
        <w:t xml:space="preserve">% </w:t>
      </w:r>
      <w:r w:rsidR="00BE5346">
        <w:t>and</w:t>
      </w:r>
      <w:r w:rsidR="00CB7C3F">
        <w:t xml:space="preserve"> $</w:t>
      </w:r>
      <w:r w:rsidR="00CA2E81">
        <w:t>100</w:t>
      </w:r>
      <w:r w:rsidR="0005159C">
        <w:t>,000</w:t>
      </w:r>
      <w:r w:rsidR="00CB7C3F">
        <w:t xml:space="preserve"> evident on your budgeted balance sheet as compared to prior year projected actuals and prior year budget</w:t>
      </w:r>
      <w:r w:rsidR="00FE64EC">
        <w:t xml:space="preserve"> and </w:t>
      </w:r>
      <w:r w:rsidR="00FE64EC">
        <w:lastRenderedPageBreak/>
        <w:t xml:space="preserve">provide an analysis of the ACO’s solvency, </w:t>
      </w:r>
      <w:r w:rsidR="009E3EBF">
        <w:t>providing</w:t>
      </w:r>
      <w:r w:rsidR="00FE64EC">
        <w:t xml:space="preserve"> </w:t>
      </w:r>
      <w:r w:rsidR="00BE5346">
        <w:t xml:space="preserve">metrics that you use </w:t>
      </w:r>
      <w:r w:rsidR="009E3EBF">
        <w:t xml:space="preserve">and noting any </w:t>
      </w:r>
      <w:r w:rsidR="00FE64EC">
        <w:t>areas of concern.</w:t>
      </w:r>
    </w:p>
    <w:p w14:paraId="14A92BE3" w14:textId="60C389E9" w:rsidR="00723CBD" w:rsidRDefault="00CC445E" w:rsidP="00374F3A">
      <w:pPr>
        <w:pStyle w:val="ListParagraph"/>
        <w:numPr>
          <w:ilvl w:val="0"/>
          <w:numId w:val="9"/>
        </w:numPr>
      </w:pPr>
      <w:r>
        <w:t>Cash Flow</w:t>
      </w:r>
      <w:r w:rsidR="00723CBD">
        <w:t>: Please explain any variations greater than 1</w:t>
      </w:r>
      <w:r w:rsidR="00BE5346">
        <w:t>0</w:t>
      </w:r>
      <w:r w:rsidR="00723CBD">
        <w:t xml:space="preserve">% </w:t>
      </w:r>
      <w:r w:rsidR="00BE5346">
        <w:t>and</w:t>
      </w:r>
      <w:r w:rsidR="00723CBD">
        <w:t xml:space="preserve"> $</w:t>
      </w:r>
      <w:r w:rsidR="00BE5346">
        <w:t>10</w:t>
      </w:r>
      <w:r w:rsidR="00723CBD">
        <w:t>0</w:t>
      </w:r>
      <w:r w:rsidR="001C4184">
        <w:t>,000</w:t>
      </w:r>
      <w:r w:rsidR="00723CBD">
        <w:t xml:space="preserve"> evident on your budgeted </w:t>
      </w:r>
      <w:r w:rsidR="009E3EBF">
        <w:t>cash flow</w:t>
      </w:r>
      <w:r w:rsidR="00723CBD">
        <w:t xml:space="preserve"> </w:t>
      </w:r>
      <w:r w:rsidR="009E3EBF">
        <w:t>statement</w:t>
      </w:r>
      <w:r w:rsidR="00723CBD">
        <w:t xml:space="preserve"> as compared to prior year projected actuals and prior year budget</w:t>
      </w:r>
      <w:r w:rsidR="00FE64EC">
        <w:t xml:space="preserve"> and provide an analysis of the ACO’s c</w:t>
      </w:r>
      <w:r w:rsidR="00EC6603">
        <w:t>urrent c</w:t>
      </w:r>
      <w:r w:rsidR="00FE64EC">
        <w:t xml:space="preserve">ash position, </w:t>
      </w:r>
      <w:r w:rsidR="00EC6603">
        <w:t>as well as expectation</w:t>
      </w:r>
      <w:r w:rsidR="00C35C59">
        <w:t>s</w:t>
      </w:r>
      <w:r w:rsidR="00EC6603">
        <w:t xml:space="preserve"> for the upcoming budget year, </w:t>
      </w:r>
      <w:r w:rsidR="00FE64EC">
        <w:t xml:space="preserve">noting any </w:t>
      </w:r>
      <w:r w:rsidR="00D34ACC">
        <w:t xml:space="preserve">potential </w:t>
      </w:r>
      <w:r w:rsidR="00EC6603">
        <w:t xml:space="preserve">timing </w:t>
      </w:r>
      <w:r w:rsidR="00D34ACC">
        <w:t>challenges</w:t>
      </w:r>
      <w:r w:rsidR="00E912D5">
        <w:t>.</w:t>
      </w:r>
      <w:r w:rsidR="00FE5B41">
        <w:t xml:space="preserve"> Please explain the use of any revolvers </w:t>
      </w:r>
      <w:r w:rsidR="00AA632B">
        <w:t xml:space="preserve">or other debt </w:t>
      </w:r>
      <w:r w:rsidR="00FE5B41">
        <w:t>used to mitigate cash flow challenges</w:t>
      </w:r>
      <w:r w:rsidR="00AA632B">
        <w:t>.</w:t>
      </w:r>
    </w:p>
    <w:p w14:paraId="1C2CF354" w14:textId="1889EE59" w:rsidR="00FE2C58" w:rsidRDefault="006A721B" w:rsidP="00374F3A">
      <w:pPr>
        <w:pStyle w:val="ListParagraph"/>
        <w:numPr>
          <w:ilvl w:val="0"/>
          <w:numId w:val="9"/>
        </w:numPr>
      </w:pPr>
      <w:r w:rsidRPr="006A721B">
        <w:t xml:space="preserve">Complete </w:t>
      </w:r>
      <w:r w:rsidRPr="00CE52AC">
        <w:rPr>
          <w:b/>
        </w:rPr>
        <w:t>Appendi</w:t>
      </w:r>
      <w:r w:rsidR="00686A99">
        <w:rPr>
          <w:b/>
        </w:rPr>
        <w:t>ces 6.6</w:t>
      </w:r>
      <w:bookmarkStart w:id="14" w:name="_Hlk9604107"/>
      <w:r w:rsidR="00EE3F04">
        <w:rPr>
          <w:b/>
        </w:rPr>
        <w:t xml:space="preserve">, </w:t>
      </w:r>
      <w:r w:rsidRPr="00CE52AC">
        <w:rPr>
          <w:b/>
        </w:rPr>
        <w:t xml:space="preserve">ACO </w:t>
      </w:r>
      <w:r w:rsidR="006C34EA" w:rsidRPr="00CE52AC">
        <w:rPr>
          <w:b/>
        </w:rPr>
        <w:t>2020</w:t>
      </w:r>
      <w:r w:rsidRPr="00CE52AC">
        <w:rPr>
          <w:b/>
        </w:rPr>
        <w:t xml:space="preserve"> Budget Submission Reporting APM for Participating Hospitals</w:t>
      </w:r>
      <w:bookmarkEnd w:id="14"/>
      <w:r w:rsidRPr="006A721B">
        <w:t xml:space="preserve"> for the </w:t>
      </w:r>
      <w:r w:rsidR="00686A99">
        <w:t>proposed</w:t>
      </w:r>
      <w:r w:rsidRPr="006A721B">
        <w:t xml:space="preserve"> budget year.</w:t>
      </w:r>
    </w:p>
    <w:p w14:paraId="36A19F02" w14:textId="3969997E" w:rsidR="00DB669F" w:rsidRDefault="00C35C59" w:rsidP="001142C9">
      <w:pPr>
        <w:pStyle w:val="ListParagraph"/>
        <w:numPr>
          <w:ilvl w:val="0"/>
          <w:numId w:val="9"/>
        </w:numPr>
      </w:pPr>
      <w:r>
        <w:t xml:space="preserve">Please </w:t>
      </w:r>
      <w:r w:rsidR="00644145">
        <w:t xml:space="preserve">complete </w:t>
      </w:r>
      <w:r w:rsidR="00686A99" w:rsidRPr="00686A99">
        <w:rPr>
          <w:b/>
          <w:bCs/>
        </w:rPr>
        <w:t>Appendix 6.7, ACO Management</w:t>
      </w:r>
      <w:r w:rsidR="00994E46">
        <w:rPr>
          <w:b/>
          <w:bCs/>
        </w:rPr>
        <w:t xml:space="preserve"> </w:t>
      </w:r>
      <w:r w:rsidR="00E121C7">
        <w:rPr>
          <w:b/>
          <w:bCs/>
        </w:rPr>
        <w:t>Compensation</w:t>
      </w:r>
      <w:r w:rsidR="002C24E7">
        <w:rPr>
          <w:b/>
          <w:bCs/>
        </w:rPr>
        <w:t xml:space="preserve"> </w:t>
      </w:r>
      <w:r w:rsidR="00DB669F">
        <w:t>with the following:</w:t>
      </w:r>
    </w:p>
    <w:p w14:paraId="377875AE" w14:textId="18167420" w:rsidR="001142C9" w:rsidRDefault="005B0E4F" w:rsidP="00DB669F">
      <w:pPr>
        <w:pStyle w:val="ListParagraph"/>
        <w:numPr>
          <w:ilvl w:val="1"/>
          <w:numId w:val="9"/>
        </w:numPr>
      </w:pPr>
      <w:r>
        <w:t>A</w:t>
      </w:r>
      <w:r w:rsidR="001142C9">
        <w:t xml:space="preserve"> list </w:t>
      </w:r>
      <w:r>
        <w:t xml:space="preserve">of all the ACO’s </w:t>
      </w:r>
      <w:r w:rsidR="001142C9">
        <w:t>current officers, directors and trustees, regardless of whether any compensation was paid to such individuals</w:t>
      </w:r>
      <w:r w:rsidR="001A5097">
        <w:t>.</w:t>
      </w:r>
    </w:p>
    <w:p w14:paraId="30719D68" w14:textId="7D6B9EA2" w:rsidR="001A5097" w:rsidRDefault="00E107A2" w:rsidP="00DB669F">
      <w:pPr>
        <w:pStyle w:val="ListParagraph"/>
        <w:numPr>
          <w:ilvl w:val="1"/>
          <w:numId w:val="9"/>
        </w:numPr>
      </w:pPr>
      <w:r>
        <w:t>List all p</w:t>
      </w:r>
      <w:r w:rsidR="00260C4E">
        <w:t>ositions</w:t>
      </w:r>
      <w:r w:rsidR="001A5097">
        <w:t xml:space="preserve"> with </w:t>
      </w:r>
      <w:r w:rsidR="007F7E6D">
        <w:t>gross compensation</w:t>
      </w:r>
      <w:r w:rsidR="001A5097">
        <w:t xml:space="preserve"> </w:t>
      </w:r>
      <w:r>
        <w:t xml:space="preserve">(the </w:t>
      </w:r>
      <w:r w:rsidRPr="002C24E7">
        <w:t>equivalent of Box 5 on a W-2</w:t>
      </w:r>
      <w:r>
        <w:t xml:space="preserve">) </w:t>
      </w:r>
      <w:r w:rsidR="001A5097">
        <w:t>greater than or equal to $150,000</w:t>
      </w:r>
      <w:r w:rsidR="0086354F">
        <w:t>.</w:t>
      </w:r>
    </w:p>
    <w:p w14:paraId="073C8CFC" w14:textId="535595C3" w:rsidR="00957AAF" w:rsidRDefault="00E107A2" w:rsidP="00DB669F">
      <w:pPr>
        <w:pStyle w:val="ListParagraph"/>
        <w:numPr>
          <w:ilvl w:val="1"/>
          <w:numId w:val="9"/>
        </w:numPr>
      </w:pPr>
      <w:r>
        <w:t xml:space="preserve">List </w:t>
      </w:r>
      <w:r w:rsidR="00F97F23">
        <w:t>all leader</w:t>
      </w:r>
      <w:r w:rsidR="00E0346F">
        <w:t xml:space="preserve">ship positions </w:t>
      </w:r>
      <w:r w:rsidR="000403C5">
        <w:t xml:space="preserve">(VP, all C-Suite, including Chief Compliance Officer) </w:t>
      </w:r>
      <w:r>
        <w:t xml:space="preserve">with gross compensation (the </w:t>
      </w:r>
      <w:r w:rsidRPr="002C24E7">
        <w:t>equivalent of Box 5 on a W-2</w:t>
      </w:r>
      <w:r>
        <w:t>) greater than $100,000</w:t>
      </w:r>
      <w:r w:rsidR="00E0346F">
        <w:t xml:space="preserve">. </w:t>
      </w:r>
    </w:p>
    <w:p w14:paraId="7DF05E67" w14:textId="291F4BEC" w:rsidR="00E25D65" w:rsidRDefault="000C7C6C" w:rsidP="00374F3A">
      <w:pPr>
        <w:pStyle w:val="ListParagraph"/>
        <w:numPr>
          <w:ilvl w:val="0"/>
          <w:numId w:val="9"/>
        </w:numPr>
      </w:pPr>
      <w:r>
        <w:t xml:space="preserve">Please provide </w:t>
      </w:r>
      <w:r w:rsidR="00914E95">
        <w:t xml:space="preserve">details for any expected capital expenditures over the next </w:t>
      </w:r>
      <w:r w:rsidR="00173E67">
        <w:t>three</w:t>
      </w:r>
      <w:r w:rsidR="00914E95">
        <w:t xml:space="preserve"> years.</w:t>
      </w:r>
    </w:p>
    <w:p w14:paraId="3E570078" w14:textId="4D477D9E" w:rsidR="0000748C" w:rsidRDefault="0000748C" w:rsidP="0000748C">
      <w:pPr>
        <w:pStyle w:val="Heading2"/>
        <w:spacing w:line="240" w:lineRule="auto"/>
      </w:pPr>
      <w:bookmarkStart w:id="15" w:name="_Toc42002466"/>
      <w:r w:rsidRPr="000D4D5D">
        <w:t xml:space="preserve">Section </w:t>
      </w:r>
      <w:r>
        <w:t>7</w:t>
      </w:r>
      <w:r w:rsidRPr="000D4D5D">
        <w:t>: ACO Quality, Population Health, Model of Care, and Community Integration</w:t>
      </w:r>
      <w:bookmarkEnd w:id="15"/>
    </w:p>
    <w:p w14:paraId="297E039D" w14:textId="39A40E69" w:rsidR="0000748C" w:rsidRDefault="00624831" w:rsidP="00374F3A">
      <w:pPr>
        <w:pStyle w:val="ListParagraph"/>
        <w:numPr>
          <w:ilvl w:val="0"/>
          <w:numId w:val="10"/>
        </w:numPr>
      </w:pPr>
      <w:r w:rsidRPr="00624831">
        <w:rPr>
          <w:i/>
          <w:iCs/>
        </w:rPr>
        <w:t>Model of Care</w:t>
      </w:r>
      <w:r>
        <w:t xml:space="preserve">. </w:t>
      </w:r>
      <w:r w:rsidR="004D1C62">
        <w:t xml:space="preserve">Please </w:t>
      </w:r>
      <w:r w:rsidR="00223CD9">
        <w:t xml:space="preserve">briefly </w:t>
      </w:r>
      <w:r w:rsidR="004D1C62">
        <w:t>explain</w:t>
      </w:r>
      <w:r w:rsidR="004D1C62" w:rsidRPr="000D4D5D">
        <w:t xml:space="preserve"> your statewide model of care and </w:t>
      </w:r>
      <w:r w:rsidR="004D1C62">
        <w:t>any significant changes made in the current year or anticipated for the proposed budget year</w:t>
      </w:r>
      <w:r w:rsidR="004D1C62" w:rsidRPr="000D4D5D">
        <w:t>.</w:t>
      </w:r>
      <w:r w:rsidR="004D1C62">
        <w:t xml:space="preserve"> In doing so, please include explanation for the following:</w:t>
      </w:r>
    </w:p>
    <w:p w14:paraId="5450997E" w14:textId="6CFB9800" w:rsidR="003E4D89" w:rsidRDefault="003E4D89" w:rsidP="00374F3A">
      <w:pPr>
        <w:pStyle w:val="NoSpacing"/>
        <w:numPr>
          <w:ilvl w:val="0"/>
          <w:numId w:val="14"/>
        </w:numPr>
      </w:pPr>
      <w:r>
        <w:t>Progress to date on implementing your model of care, including any quantitative evidence.</w:t>
      </w:r>
      <w:r w:rsidR="00D4784B">
        <w:t xml:space="preserve"> Please note any lessons learned.</w:t>
      </w:r>
    </w:p>
    <w:p w14:paraId="6A49B684" w14:textId="702F6631" w:rsidR="004D1C62" w:rsidRDefault="004D1C62" w:rsidP="00374F3A">
      <w:pPr>
        <w:pStyle w:val="NoSpacing"/>
        <w:numPr>
          <w:ilvl w:val="0"/>
          <w:numId w:val="14"/>
        </w:numPr>
      </w:pPr>
      <w:r>
        <w:t xml:space="preserve">Any goals or objectives associated with your model of care </w:t>
      </w:r>
      <w:r w:rsidR="003E4D89">
        <w:t xml:space="preserve">for the proposed budget year </w:t>
      </w:r>
      <w:r>
        <w:t>and your strategy for their achievement.</w:t>
      </w:r>
      <w:r w:rsidR="00D4784B">
        <w:t xml:space="preserve"> </w:t>
      </w:r>
    </w:p>
    <w:p w14:paraId="28EBDA9E" w14:textId="0F2D6B01" w:rsidR="004D1C62" w:rsidRDefault="004D1C62" w:rsidP="00374F3A">
      <w:pPr>
        <w:pStyle w:val="NoSpacing"/>
        <w:numPr>
          <w:ilvl w:val="0"/>
          <w:numId w:val="14"/>
        </w:numPr>
      </w:pPr>
      <w:r>
        <w:t xml:space="preserve">The evidence base for any changes </w:t>
      </w:r>
      <w:r w:rsidR="003E4D89">
        <w:t xml:space="preserve">made since the current year </w:t>
      </w:r>
      <w:r>
        <w:t>and h</w:t>
      </w:r>
      <w:r w:rsidR="00FB2005">
        <w:t>ow</w:t>
      </w:r>
      <w:r>
        <w:t xml:space="preserve"> you intend to measure progress, including any quantitative measures, report</w:t>
      </w:r>
      <w:r w:rsidR="003E4D89">
        <w:t>ing, and analysis.</w:t>
      </w:r>
    </w:p>
    <w:p w14:paraId="625D78B2" w14:textId="77A1C452" w:rsidR="0000748C" w:rsidRDefault="004D1C62" w:rsidP="00374F3A">
      <w:pPr>
        <w:pStyle w:val="NoSpacing"/>
        <w:numPr>
          <w:ilvl w:val="0"/>
          <w:numId w:val="14"/>
        </w:numPr>
      </w:pPr>
      <w:r>
        <w:t xml:space="preserve">The </w:t>
      </w:r>
      <w:r w:rsidR="0000748C">
        <w:t>ACO</w:t>
      </w:r>
      <w:r>
        <w:t>’s</w:t>
      </w:r>
      <w:r w:rsidR="0000748C">
        <w:t xml:space="preserve"> role </w:t>
      </w:r>
      <w:r>
        <w:t xml:space="preserve">in implementing this model of care as compared to other relevant stakeholders, including how the ACO collaborates with the Blueprint for Health and </w:t>
      </w:r>
      <w:r w:rsidR="00F94547">
        <w:t>continues to ensure</w:t>
      </w:r>
      <w:r>
        <w:t xml:space="preserve"> non-redundant services and investments, that are in coordination with, and not in contradiction to, state objectives</w:t>
      </w:r>
      <w:r w:rsidR="005B22D2">
        <w:t xml:space="preserve"> (e.g. </w:t>
      </w:r>
      <w:r w:rsidR="003415A1">
        <w:t>All Payer Model, Department of Mental Health’s Ten Year Plan, State Health Improvement Plan</w:t>
      </w:r>
      <w:r w:rsidR="005B22D2">
        <w:t>)</w:t>
      </w:r>
      <w:r w:rsidR="003E437E">
        <w:t>.</w:t>
      </w:r>
    </w:p>
    <w:p w14:paraId="11E8DB22" w14:textId="77777777" w:rsidR="003E437E" w:rsidRDefault="003E437E" w:rsidP="003E437E">
      <w:pPr>
        <w:pStyle w:val="NoSpacing"/>
        <w:ind w:left="1440"/>
      </w:pPr>
    </w:p>
    <w:p w14:paraId="07E7FBAD" w14:textId="62A28B05" w:rsidR="00400B2B" w:rsidRDefault="0000748C" w:rsidP="00374F3A">
      <w:pPr>
        <w:pStyle w:val="ListParagraph"/>
        <w:numPr>
          <w:ilvl w:val="0"/>
          <w:numId w:val="10"/>
        </w:numPr>
      </w:pPr>
      <w:r w:rsidRPr="00624831">
        <w:rPr>
          <w:i/>
          <w:iCs/>
        </w:rPr>
        <w:t>Quality Improvement and Clinical Priorities</w:t>
      </w:r>
      <w:r w:rsidR="00624831">
        <w:rPr>
          <w:i/>
          <w:iCs/>
        </w:rPr>
        <w:t>.</w:t>
      </w:r>
      <w:r w:rsidR="00A01A08">
        <w:t xml:space="preserve"> Please</w:t>
      </w:r>
      <w:r w:rsidR="00511A23">
        <w:t xml:space="preserve"> complete </w:t>
      </w:r>
      <w:r w:rsidR="00225B0D">
        <w:rPr>
          <w:b/>
          <w:bCs/>
        </w:rPr>
        <w:t>A</w:t>
      </w:r>
      <w:r w:rsidR="00511A23" w:rsidRPr="00225B0D">
        <w:rPr>
          <w:b/>
          <w:bCs/>
        </w:rPr>
        <w:t xml:space="preserve">ppendix </w:t>
      </w:r>
      <w:r w:rsidR="00225B0D" w:rsidRPr="00225B0D">
        <w:rPr>
          <w:b/>
          <w:bCs/>
        </w:rPr>
        <w:t>7.1</w:t>
      </w:r>
      <w:r w:rsidR="00E56AF6">
        <w:rPr>
          <w:b/>
          <w:bCs/>
        </w:rPr>
        <w:t>,</w:t>
      </w:r>
      <w:r w:rsidR="00225B0D">
        <w:t xml:space="preserve"> </w:t>
      </w:r>
      <w:r w:rsidR="00E56AF6" w:rsidRPr="00E56AF6">
        <w:rPr>
          <w:b/>
          <w:bCs/>
        </w:rPr>
        <w:t>ACO Clinical Priorities</w:t>
      </w:r>
      <w:r w:rsidR="00E56AF6">
        <w:t xml:space="preserve"> </w:t>
      </w:r>
      <w:r w:rsidR="00225B0D">
        <w:t>and</w:t>
      </w:r>
      <w:r w:rsidR="00A01A08">
        <w:t xml:space="preserve"> describe your quality improvement framework and </w:t>
      </w:r>
      <w:r w:rsidR="00044F93">
        <w:t xml:space="preserve">your theory of change, including </w:t>
      </w:r>
      <w:r w:rsidR="00EA2841">
        <w:t>your clinical priorities for the proposed budget year</w:t>
      </w:r>
      <w:r w:rsidR="00400B2B">
        <w:t xml:space="preserve">. In doing so, please include an explanation </w:t>
      </w:r>
      <w:r w:rsidR="00D74ADF">
        <w:t>for</w:t>
      </w:r>
      <w:r w:rsidR="00400B2B">
        <w:t xml:space="preserve"> the following:</w:t>
      </w:r>
    </w:p>
    <w:p w14:paraId="636C998F" w14:textId="41F6A4EC" w:rsidR="005C7B92" w:rsidRPr="00FE4C26" w:rsidRDefault="00E05913" w:rsidP="00BD19EB">
      <w:pPr>
        <w:pStyle w:val="NoSpacing"/>
        <w:numPr>
          <w:ilvl w:val="1"/>
          <w:numId w:val="18"/>
        </w:numPr>
        <w:rPr>
          <w:rFonts w:eastAsiaTheme="minorHAnsi"/>
        </w:rPr>
      </w:pPr>
      <w:r>
        <w:lastRenderedPageBreak/>
        <w:t>Progress to date</w:t>
      </w:r>
      <w:r w:rsidR="00C9034C">
        <w:t xml:space="preserve"> and </w:t>
      </w:r>
      <w:r>
        <w:t>quantitative or qualitative evidence</w:t>
      </w:r>
      <w:r w:rsidR="007637D9">
        <w:t xml:space="preserve"> at the </w:t>
      </w:r>
      <w:r w:rsidR="005F1C48">
        <w:t>ACO</w:t>
      </w:r>
      <w:r w:rsidR="007637D9">
        <w:t>, and local (HSA) levels</w:t>
      </w:r>
      <w:r w:rsidR="00FE4C26">
        <w:t>, including a</w:t>
      </w:r>
      <w:r w:rsidR="00723E14">
        <w:t>n</w:t>
      </w:r>
      <w:r w:rsidR="00B110B4" w:rsidRPr="00B110B4">
        <w:t xml:space="preserve"> evaluation </w:t>
      </w:r>
      <w:r w:rsidR="00BE02BC">
        <w:t>and the supporting data for</w:t>
      </w:r>
      <w:r w:rsidR="003503D5">
        <w:t xml:space="preserve"> the following, over the last three years (2018, 2019, 2020), by HSA</w:t>
      </w:r>
      <w:r w:rsidR="005C7B92">
        <w:t>:</w:t>
      </w:r>
    </w:p>
    <w:p w14:paraId="3C2E80D9" w14:textId="4B02C734" w:rsidR="003503D5" w:rsidRPr="003503D5" w:rsidRDefault="005C7B92" w:rsidP="005C7B92">
      <w:pPr>
        <w:pStyle w:val="NoSpacing"/>
        <w:numPr>
          <w:ilvl w:val="2"/>
          <w:numId w:val="18"/>
        </w:numPr>
        <w:rPr>
          <w:rFonts w:eastAsiaTheme="minorHAnsi"/>
        </w:rPr>
      </w:pPr>
      <w:r>
        <w:t>V</w:t>
      </w:r>
      <w:r w:rsidR="00B110B4" w:rsidRPr="00B110B4">
        <w:t>ariations in</w:t>
      </w:r>
      <w:r w:rsidR="00234A00">
        <w:t xml:space="preserve"> </w:t>
      </w:r>
      <w:proofErr w:type="gramStart"/>
      <w:r w:rsidR="00234A00">
        <w:t>care</w:t>
      </w:r>
      <w:r w:rsidR="003503D5">
        <w:t>;</w:t>
      </w:r>
      <w:proofErr w:type="gramEnd"/>
    </w:p>
    <w:p w14:paraId="292AAA4D" w14:textId="77777777" w:rsidR="00A07ED0" w:rsidRPr="00A07ED0" w:rsidRDefault="003503D5" w:rsidP="005C7B92">
      <w:pPr>
        <w:pStyle w:val="NoSpacing"/>
        <w:numPr>
          <w:ilvl w:val="2"/>
          <w:numId w:val="18"/>
        </w:numPr>
        <w:rPr>
          <w:rFonts w:eastAsiaTheme="minorHAnsi"/>
        </w:rPr>
      </w:pPr>
      <w:r>
        <w:t>M</w:t>
      </w:r>
      <w:r w:rsidR="00BE02BC">
        <w:t xml:space="preserve">ost prevalent </w:t>
      </w:r>
      <w:r w:rsidR="00A07ED0">
        <w:t xml:space="preserve">chronic </w:t>
      </w:r>
      <w:proofErr w:type="gramStart"/>
      <w:r w:rsidR="00BE02BC">
        <w:t>conditions</w:t>
      </w:r>
      <w:r>
        <w:t>;</w:t>
      </w:r>
      <w:proofErr w:type="gramEnd"/>
      <w:r>
        <w:t xml:space="preserve"> </w:t>
      </w:r>
    </w:p>
    <w:p w14:paraId="310EE848" w14:textId="5E250EA9" w:rsidR="003503D5" w:rsidRPr="003503D5" w:rsidRDefault="00A07ED0" w:rsidP="005C7B92">
      <w:pPr>
        <w:pStyle w:val="NoSpacing"/>
        <w:numPr>
          <w:ilvl w:val="2"/>
          <w:numId w:val="18"/>
        </w:numPr>
        <w:rPr>
          <w:rFonts w:eastAsiaTheme="minorHAnsi"/>
        </w:rPr>
      </w:pPr>
      <w:r>
        <w:t xml:space="preserve">Most prevalent high cost conditions; </w:t>
      </w:r>
      <w:r w:rsidR="003503D5">
        <w:t>and</w:t>
      </w:r>
    </w:p>
    <w:p w14:paraId="71502E67" w14:textId="52977E1B" w:rsidR="000521E8" w:rsidRPr="000521E8" w:rsidRDefault="003503D5" w:rsidP="005C7B92">
      <w:pPr>
        <w:pStyle w:val="NoSpacing"/>
        <w:numPr>
          <w:ilvl w:val="2"/>
          <w:numId w:val="18"/>
        </w:numPr>
        <w:rPr>
          <w:rFonts w:eastAsiaTheme="minorHAnsi"/>
        </w:rPr>
      </w:pPr>
      <w:r>
        <w:t>V</w:t>
      </w:r>
      <w:r w:rsidR="00324E07">
        <w:t>ariation</w:t>
      </w:r>
      <w:r w:rsidR="00324283">
        <w:t>s</w:t>
      </w:r>
      <w:r w:rsidR="00324E07">
        <w:t xml:space="preserve"> in outcomes</w:t>
      </w:r>
      <w:r w:rsidR="00BE02BC">
        <w:t>.</w:t>
      </w:r>
    </w:p>
    <w:p w14:paraId="4DFB28F9" w14:textId="6A8D6F71" w:rsidR="00400B2B" w:rsidRDefault="00D74ADF" w:rsidP="00374F3A">
      <w:pPr>
        <w:pStyle w:val="NoSpacing"/>
        <w:numPr>
          <w:ilvl w:val="1"/>
          <w:numId w:val="18"/>
        </w:numPr>
      </w:pPr>
      <w:r>
        <w:t>Method for establishing</w:t>
      </w:r>
      <w:r w:rsidR="00EA2841">
        <w:t xml:space="preserve"> </w:t>
      </w:r>
      <w:r w:rsidR="00B72CFD">
        <w:t xml:space="preserve">the </w:t>
      </w:r>
      <w:r w:rsidR="00400B2B">
        <w:t>clinical priorities</w:t>
      </w:r>
      <w:r w:rsidR="00B72CFD">
        <w:t xml:space="preserve"> for the proposed budget year</w:t>
      </w:r>
      <w:r w:rsidR="00B06DE2">
        <w:t xml:space="preserve"> at the </w:t>
      </w:r>
      <w:r w:rsidR="00AD047A">
        <w:t>ACO</w:t>
      </w:r>
      <w:r w:rsidR="00B06DE2">
        <w:t xml:space="preserve"> and local (HSA) levels</w:t>
      </w:r>
      <w:r>
        <w:t>.</w:t>
      </w:r>
    </w:p>
    <w:p w14:paraId="3AB4DBA8" w14:textId="45AE116A" w:rsidR="000F39F4" w:rsidRDefault="00B72CFD" w:rsidP="00BD19EB">
      <w:pPr>
        <w:pStyle w:val="NoSpacing"/>
        <w:numPr>
          <w:ilvl w:val="1"/>
          <w:numId w:val="18"/>
        </w:numPr>
      </w:pPr>
      <w:r>
        <w:t xml:space="preserve">How does the ACO </w:t>
      </w:r>
      <w:r w:rsidR="00FE72F5">
        <w:t>support HSAs in driving change?</w:t>
      </w:r>
      <w:r w:rsidR="007E5326">
        <w:t xml:space="preserve"> </w:t>
      </w:r>
      <w:r w:rsidR="000521E8">
        <w:t>How is data used to drive change?</w:t>
      </w:r>
      <w:r w:rsidR="00FE72F5">
        <w:t xml:space="preserve"> </w:t>
      </w:r>
      <w:r w:rsidR="00926BFC">
        <w:t>Is</w:t>
      </w:r>
      <w:r w:rsidR="00AE16E9">
        <w:t xml:space="preserve"> </w:t>
      </w:r>
      <w:r w:rsidR="00B65BCF">
        <w:t>there an a</w:t>
      </w:r>
      <w:r w:rsidR="000F39F4">
        <w:t>ccountability</w:t>
      </w:r>
      <w:r w:rsidR="00B65BCF">
        <w:t xml:space="preserve"> or incentive structure for driving change</w:t>
      </w:r>
      <w:r w:rsidR="000F39F4">
        <w:t xml:space="preserve">? </w:t>
      </w:r>
      <w:r w:rsidR="00926BFC">
        <w:t>If so, how does it work?</w:t>
      </w:r>
    </w:p>
    <w:p w14:paraId="765EC51F" w14:textId="1A80511E" w:rsidR="003E437E" w:rsidRDefault="00B14D6F" w:rsidP="00BD19EB">
      <w:pPr>
        <w:pStyle w:val="ListParagraph"/>
        <w:numPr>
          <w:ilvl w:val="1"/>
          <w:numId w:val="18"/>
        </w:numPr>
      </w:pPr>
      <w:r>
        <w:t xml:space="preserve">Please discuss your quality program in the context of COVID-19. Do you believe any additional metrics should be tracked due to COVID-19? </w:t>
      </w:r>
    </w:p>
    <w:p w14:paraId="3EC78DA2" w14:textId="4877AB23" w:rsidR="0000748C" w:rsidRDefault="0000748C" w:rsidP="00374F3A">
      <w:pPr>
        <w:pStyle w:val="ListParagraph"/>
        <w:numPr>
          <w:ilvl w:val="0"/>
          <w:numId w:val="10"/>
        </w:numPr>
      </w:pPr>
      <w:r w:rsidRPr="00D34DE3">
        <w:rPr>
          <w:i/>
          <w:iCs/>
        </w:rPr>
        <w:t xml:space="preserve">Population Health </w:t>
      </w:r>
      <w:r w:rsidR="00AD0BE4">
        <w:rPr>
          <w:i/>
          <w:iCs/>
        </w:rPr>
        <w:t>and Payment Reform</w:t>
      </w:r>
      <w:r w:rsidR="00D74ADF">
        <w:t xml:space="preserve">. Please </w:t>
      </w:r>
      <w:r w:rsidR="005E3BA1">
        <w:t xml:space="preserve">complete </w:t>
      </w:r>
      <w:r w:rsidR="005E3BA1" w:rsidRPr="005E3BA1">
        <w:rPr>
          <w:b/>
          <w:bCs/>
        </w:rPr>
        <w:t xml:space="preserve">Appendix </w:t>
      </w:r>
      <w:r w:rsidR="00A1480A">
        <w:rPr>
          <w:b/>
          <w:bCs/>
        </w:rPr>
        <w:t>7.</w:t>
      </w:r>
      <w:r w:rsidR="005F3F84">
        <w:rPr>
          <w:b/>
          <w:bCs/>
        </w:rPr>
        <w:t>2</w:t>
      </w:r>
      <w:r w:rsidR="002E10D2">
        <w:rPr>
          <w:b/>
          <w:bCs/>
        </w:rPr>
        <w:t>,</w:t>
      </w:r>
      <w:r w:rsidR="00091CDF">
        <w:rPr>
          <w:b/>
          <w:bCs/>
        </w:rPr>
        <w:t xml:space="preserve"> </w:t>
      </w:r>
      <w:bookmarkStart w:id="16" w:name="_Hlk41476359"/>
      <w:r w:rsidR="00091CDF">
        <w:rPr>
          <w:b/>
          <w:bCs/>
        </w:rPr>
        <w:t xml:space="preserve">Population Health </w:t>
      </w:r>
      <w:r w:rsidR="00AD0BE4">
        <w:rPr>
          <w:b/>
          <w:bCs/>
        </w:rPr>
        <w:t>and Payment Reform Details</w:t>
      </w:r>
      <w:r w:rsidR="005E3BA1">
        <w:t xml:space="preserve"> </w:t>
      </w:r>
      <w:bookmarkEnd w:id="16"/>
      <w:r w:rsidR="005E3BA1">
        <w:t xml:space="preserve">and </w:t>
      </w:r>
      <w:r w:rsidR="00D74ADF">
        <w:t>explain</w:t>
      </w:r>
      <w:r w:rsidR="005311BE">
        <w:t xml:space="preserve"> your </w:t>
      </w:r>
      <w:r w:rsidR="00144FF5">
        <w:t>strategy for</w:t>
      </w:r>
      <w:r w:rsidR="005E3BA1">
        <w:t xml:space="preserve"> making</w:t>
      </w:r>
      <w:r w:rsidR="00F2085D">
        <w:t xml:space="preserve"> investments in</w:t>
      </w:r>
      <w:r w:rsidR="00144FF5">
        <w:t xml:space="preserve"> population health</w:t>
      </w:r>
      <w:r w:rsidR="00AD0BE4">
        <w:t xml:space="preserve"> and </w:t>
      </w:r>
      <w:r w:rsidR="00C269AD">
        <w:t xml:space="preserve">developing </w:t>
      </w:r>
      <w:r w:rsidR="00AD0BE4">
        <w:t>payment reform</w:t>
      </w:r>
      <w:r w:rsidR="00C269AD">
        <w:t xml:space="preserve"> </w:t>
      </w:r>
      <w:r w:rsidR="00213E95">
        <w:t>programs</w:t>
      </w:r>
      <w:r w:rsidR="00E74FDD">
        <w:t xml:space="preserve"> across the continuum of care</w:t>
      </w:r>
      <w:r w:rsidR="00144FF5">
        <w:t xml:space="preserve">, including </w:t>
      </w:r>
      <w:r w:rsidR="002A5225">
        <w:t>reference to the following:</w:t>
      </w:r>
    </w:p>
    <w:p w14:paraId="3AC4B46E" w14:textId="380D7CFB" w:rsidR="002A5225" w:rsidRDefault="002A5225" w:rsidP="00374F3A">
      <w:pPr>
        <w:pStyle w:val="NoSpacing"/>
        <w:numPr>
          <w:ilvl w:val="0"/>
          <w:numId w:val="16"/>
        </w:numPr>
      </w:pPr>
      <w:r w:rsidRPr="002A5225">
        <w:t>Progress to date</w:t>
      </w:r>
      <w:r w:rsidR="005F1C48">
        <w:t>, including quantitative or qualitative evidence at the ACO, and local (HSA) levels.</w:t>
      </w:r>
    </w:p>
    <w:p w14:paraId="11C2771B" w14:textId="3796F655" w:rsidR="002A5225" w:rsidRDefault="00511A23" w:rsidP="00374F3A">
      <w:pPr>
        <w:pStyle w:val="NoSpacing"/>
        <w:numPr>
          <w:ilvl w:val="0"/>
          <w:numId w:val="16"/>
        </w:numPr>
      </w:pPr>
      <w:r>
        <w:t>Method</w:t>
      </w:r>
      <w:r w:rsidR="007E7373">
        <w:t>s</w:t>
      </w:r>
      <w:r w:rsidR="005F1C48">
        <w:t xml:space="preserve"> for </w:t>
      </w:r>
      <w:r w:rsidR="00410465">
        <w:t>establishing new or continued investment</w:t>
      </w:r>
      <w:r w:rsidR="007E7373">
        <w:t xml:space="preserve"> in such initiatives</w:t>
      </w:r>
      <w:r w:rsidR="00213E95">
        <w:t>/programs</w:t>
      </w:r>
      <w:r w:rsidR="007E7373">
        <w:t>.</w:t>
      </w:r>
    </w:p>
    <w:p w14:paraId="0138BD6A" w14:textId="77777777" w:rsidR="00BB23FE" w:rsidRDefault="00511A23" w:rsidP="00374F3A">
      <w:pPr>
        <w:pStyle w:val="NoSpacing"/>
        <w:numPr>
          <w:ilvl w:val="0"/>
          <w:numId w:val="16"/>
        </w:numPr>
      </w:pPr>
      <w:r>
        <w:t>Measure</w:t>
      </w:r>
      <w:r w:rsidR="007E7373">
        <w:t>s and methods used to track progress and identify challenges and opportunities.</w:t>
      </w:r>
    </w:p>
    <w:p w14:paraId="7802ADDA" w14:textId="0C18753F" w:rsidR="00225B0D" w:rsidRDefault="00BB23FE" w:rsidP="00374F3A">
      <w:pPr>
        <w:pStyle w:val="NoSpacing"/>
        <w:numPr>
          <w:ilvl w:val="0"/>
          <w:numId w:val="16"/>
        </w:numPr>
      </w:pPr>
      <w:r>
        <w:t xml:space="preserve">Whether and how is there an accountability or incentive structure </w:t>
      </w:r>
      <w:r w:rsidR="008950FC">
        <w:t xml:space="preserve">to </w:t>
      </w:r>
      <w:r w:rsidR="000C0F71">
        <w:t>drive change</w:t>
      </w:r>
      <w:r>
        <w:t>?</w:t>
      </w:r>
    </w:p>
    <w:p w14:paraId="2465C123" w14:textId="77777777" w:rsidR="00BB23FE" w:rsidRPr="002A5225" w:rsidRDefault="00BB23FE" w:rsidP="00BB23FE">
      <w:pPr>
        <w:pStyle w:val="NoSpacing"/>
        <w:ind w:left="1440"/>
      </w:pPr>
    </w:p>
    <w:p w14:paraId="08914F5B" w14:textId="2CDD8C17" w:rsidR="0000748C" w:rsidRDefault="0000748C" w:rsidP="00374F3A">
      <w:pPr>
        <w:pStyle w:val="ListParagraph"/>
        <w:numPr>
          <w:ilvl w:val="0"/>
          <w:numId w:val="10"/>
        </w:numPr>
      </w:pPr>
      <w:r w:rsidRPr="00727937">
        <w:rPr>
          <w:i/>
          <w:iCs/>
        </w:rPr>
        <w:t>Care Coordination and Care Navigator</w:t>
      </w:r>
      <w:r w:rsidR="00557B44">
        <w:t xml:space="preserve">. Please </w:t>
      </w:r>
      <w:r w:rsidR="00EF032C">
        <w:t xml:space="preserve">complete </w:t>
      </w:r>
      <w:r w:rsidR="00EF032C" w:rsidRPr="00225B0D">
        <w:rPr>
          <w:b/>
          <w:bCs/>
        </w:rPr>
        <w:t>Appendi</w:t>
      </w:r>
      <w:r w:rsidR="005F106C" w:rsidRPr="00225B0D">
        <w:rPr>
          <w:b/>
          <w:bCs/>
        </w:rPr>
        <w:t xml:space="preserve">ces </w:t>
      </w:r>
      <w:r w:rsidR="00E9586A">
        <w:rPr>
          <w:b/>
          <w:bCs/>
        </w:rPr>
        <w:t xml:space="preserve">7.3, </w:t>
      </w:r>
      <w:r w:rsidR="005F106C" w:rsidRPr="00225B0D">
        <w:rPr>
          <w:b/>
          <w:bCs/>
        </w:rPr>
        <w:t>7.</w:t>
      </w:r>
      <w:r w:rsidR="005F3F84">
        <w:rPr>
          <w:b/>
          <w:bCs/>
        </w:rPr>
        <w:t>4</w:t>
      </w:r>
      <w:r w:rsidR="005F106C">
        <w:t xml:space="preserve">, </w:t>
      </w:r>
      <w:r w:rsidR="00BD19EB">
        <w:t xml:space="preserve">and </w:t>
      </w:r>
      <w:r w:rsidR="005F106C" w:rsidRPr="00225B0D">
        <w:rPr>
          <w:b/>
          <w:bCs/>
        </w:rPr>
        <w:t>7.</w:t>
      </w:r>
      <w:r w:rsidR="005F3F84">
        <w:rPr>
          <w:b/>
          <w:bCs/>
        </w:rPr>
        <w:t>5</w:t>
      </w:r>
      <w:r w:rsidR="005F106C">
        <w:t xml:space="preserve"> </w:t>
      </w:r>
      <w:r w:rsidR="009820C3">
        <w:t xml:space="preserve">for the proposed budget year </w:t>
      </w:r>
      <w:r w:rsidR="00EF032C">
        <w:t xml:space="preserve">and </w:t>
      </w:r>
      <w:r w:rsidR="00790360">
        <w:t xml:space="preserve">explain </w:t>
      </w:r>
      <w:r w:rsidR="000336F5">
        <w:t>any opportunities or challenges you have experienced in</w:t>
      </w:r>
      <w:r w:rsidR="00727937">
        <w:t xml:space="preserve"> your</w:t>
      </w:r>
      <w:r w:rsidR="005F106C">
        <w:t xml:space="preserve"> continued</w:t>
      </w:r>
      <w:r w:rsidR="00727937">
        <w:t xml:space="preserve"> implementation of care coordination and the use of Care Navigator. In doing so, please </w:t>
      </w:r>
      <w:r w:rsidR="008009AE">
        <w:t>discuss the</w:t>
      </w:r>
      <w:r w:rsidR="00727937">
        <w:t xml:space="preserve"> following:</w:t>
      </w:r>
    </w:p>
    <w:p w14:paraId="0D43008D" w14:textId="327C66EC" w:rsidR="008009AE" w:rsidRDefault="0030269A" w:rsidP="00374F3A">
      <w:pPr>
        <w:pStyle w:val="NoSpacing"/>
        <w:numPr>
          <w:ilvl w:val="0"/>
          <w:numId w:val="15"/>
        </w:numPr>
      </w:pPr>
      <w:r>
        <w:t>A</w:t>
      </w:r>
      <w:r w:rsidR="008009AE">
        <w:t>n update on your Care Coordination Effectiveness and Outcomes Analysis Framework using data.</w:t>
      </w:r>
    </w:p>
    <w:p w14:paraId="2F5FAA03" w14:textId="200E276D" w:rsidR="00490256" w:rsidRDefault="0060638E" w:rsidP="00374F3A">
      <w:pPr>
        <w:pStyle w:val="NoSpacing"/>
        <w:numPr>
          <w:ilvl w:val="0"/>
          <w:numId w:val="15"/>
        </w:numPr>
      </w:pPr>
      <w:r>
        <w:t>An overview of your risk stratification methodology, and rationale for its selection</w:t>
      </w:r>
      <w:r w:rsidR="006E4797">
        <w:t>/continued use,</w:t>
      </w:r>
      <w:r>
        <w:t xml:space="preserve"> among others.</w:t>
      </w:r>
    </w:p>
    <w:p w14:paraId="10C2D0F9" w14:textId="549C0BC9" w:rsidR="005F106C" w:rsidRDefault="005F106C" w:rsidP="00374F3A">
      <w:pPr>
        <w:pStyle w:val="NoSpacing"/>
        <w:numPr>
          <w:ilvl w:val="0"/>
          <w:numId w:val="15"/>
        </w:numPr>
      </w:pPr>
      <w:r>
        <w:t>How is the ACO incorporating provider and patient input on the use of these software tools? Please share any relevant lessons learned.</w:t>
      </w:r>
    </w:p>
    <w:p w14:paraId="7B1A2AEA" w14:textId="4861DAA4" w:rsidR="004A7DA9" w:rsidRDefault="00557B44" w:rsidP="00374F3A">
      <w:pPr>
        <w:pStyle w:val="NoSpacing"/>
        <w:numPr>
          <w:ilvl w:val="0"/>
          <w:numId w:val="15"/>
        </w:numPr>
      </w:pPr>
      <w:r>
        <w:t xml:space="preserve">How does </w:t>
      </w:r>
      <w:r w:rsidR="004A7DA9">
        <w:t>the ACO’s care coordination align with other payer care coordination programs?</w:t>
      </w:r>
    </w:p>
    <w:p w14:paraId="6D0DA6D5" w14:textId="49757F55" w:rsidR="0028014B" w:rsidRDefault="0028014B" w:rsidP="00374F3A">
      <w:pPr>
        <w:pStyle w:val="NoSpacing"/>
        <w:numPr>
          <w:ilvl w:val="0"/>
          <w:numId w:val="15"/>
        </w:numPr>
      </w:pPr>
      <w:r>
        <w:t xml:space="preserve">How is the ACO expanding access </w:t>
      </w:r>
      <w:r w:rsidR="004260AF">
        <w:t xml:space="preserve">and usage </w:t>
      </w:r>
      <w:r>
        <w:t>of care navigator to non-participating providers?</w:t>
      </w:r>
    </w:p>
    <w:p w14:paraId="746B2A0E" w14:textId="77777777" w:rsidR="004C7A63" w:rsidRDefault="004C7A63" w:rsidP="004C7A63">
      <w:pPr>
        <w:pStyle w:val="NoSpacing"/>
        <w:ind w:left="1440"/>
      </w:pPr>
    </w:p>
    <w:p w14:paraId="499DFED2" w14:textId="5519C316" w:rsidR="0000748C" w:rsidRDefault="005B0FA7" w:rsidP="00374F3A">
      <w:pPr>
        <w:pStyle w:val="ListParagraph"/>
        <w:numPr>
          <w:ilvl w:val="0"/>
          <w:numId w:val="10"/>
        </w:numPr>
      </w:pPr>
      <w:r w:rsidRPr="005B0FA7">
        <w:rPr>
          <w:i/>
          <w:iCs/>
        </w:rPr>
        <w:t>Integration of Social Services</w:t>
      </w:r>
      <w:r>
        <w:t xml:space="preserve">. </w:t>
      </w:r>
      <w:r w:rsidR="00216567">
        <w:t>Please explain how the ACO integrates or facilitates the integration of healthcare and</w:t>
      </w:r>
      <w:r w:rsidR="0000748C">
        <w:t xml:space="preserve"> </w:t>
      </w:r>
      <w:r w:rsidR="00216567">
        <w:t>s</w:t>
      </w:r>
      <w:r w:rsidR="0000748C">
        <w:t xml:space="preserve">ocial </w:t>
      </w:r>
      <w:r w:rsidR="00216567">
        <w:t>s</w:t>
      </w:r>
      <w:r w:rsidR="0000748C">
        <w:t>ervices</w:t>
      </w:r>
      <w:r w:rsidR="00216567">
        <w:t>.</w:t>
      </w:r>
    </w:p>
    <w:p w14:paraId="7DA66583" w14:textId="6BA02554" w:rsidR="00CC70FB" w:rsidRPr="00CC70FB" w:rsidRDefault="00CC70FB" w:rsidP="00BD19EB">
      <w:pPr>
        <w:pStyle w:val="ListParagraph"/>
        <w:numPr>
          <w:ilvl w:val="0"/>
          <w:numId w:val="10"/>
        </w:numPr>
      </w:pPr>
      <w:r w:rsidRPr="00CC70FB">
        <w:rPr>
          <w:i/>
          <w:iCs/>
        </w:rPr>
        <w:lastRenderedPageBreak/>
        <w:t>Childhood Adversity</w:t>
      </w:r>
      <w:r>
        <w:t>. How is the ACO providing incentives for preventing and addressing the impacts of adverse childhood experiences and other traumas? Please identify any significant changes in this work over prior year.</w:t>
      </w:r>
    </w:p>
    <w:p w14:paraId="4FA22948" w14:textId="6FA71AA0" w:rsidR="00590C34" w:rsidRDefault="00590C34" w:rsidP="00374F3A">
      <w:pPr>
        <w:pStyle w:val="ListParagraph"/>
        <w:numPr>
          <w:ilvl w:val="0"/>
          <w:numId w:val="10"/>
        </w:numPr>
      </w:pPr>
      <w:r w:rsidRPr="00027A63">
        <w:rPr>
          <w:i/>
          <w:iCs/>
        </w:rPr>
        <w:t xml:space="preserve">All Payer Model </w:t>
      </w:r>
      <w:r w:rsidR="00CD15BC" w:rsidRPr="00027A63">
        <w:rPr>
          <w:i/>
          <w:iCs/>
        </w:rPr>
        <w:t xml:space="preserve">Quality and Population Health </w:t>
      </w:r>
      <w:r w:rsidRPr="00027A63">
        <w:rPr>
          <w:i/>
          <w:iCs/>
        </w:rPr>
        <w:t>Goals</w:t>
      </w:r>
      <w:r>
        <w:t xml:space="preserve">. </w:t>
      </w:r>
      <w:r w:rsidR="006943BC">
        <w:t xml:space="preserve">Please </w:t>
      </w:r>
      <w:r w:rsidR="00CB3EC8">
        <w:t xml:space="preserve">complete </w:t>
      </w:r>
      <w:r w:rsidR="00CB3EC8" w:rsidRPr="005B0FA7">
        <w:rPr>
          <w:b/>
          <w:bCs/>
        </w:rPr>
        <w:t>Appendix 7.</w:t>
      </w:r>
      <w:r w:rsidR="00BD19EB">
        <w:rPr>
          <w:b/>
          <w:bCs/>
        </w:rPr>
        <w:t>6</w:t>
      </w:r>
      <w:r w:rsidR="004A62A7">
        <w:rPr>
          <w:b/>
          <w:bCs/>
        </w:rPr>
        <w:t xml:space="preserve">, </w:t>
      </w:r>
      <w:r w:rsidR="004A62A7" w:rsidRPr="004A62A7">
        <w:rPr>
          <w:b/>
          <w:bCs/>
        </w:rPr>
        <w:t>ACO Activities related to the Vermont All-Payer Model ACO Agreement Population Health and Quality Goals</w:t>
      </w:r>
      <w:r w:rsidR="00CB3EC8">
        <w:t xml:space="preserve"> </w:t>
      </w:r>
      <w:r w:rsidR="00A73DC4">
        <w:t>to describe results to date and</w:t>
      </w:r>
      <w:r w:rsidR="00CB3EC8">
        <w:t xml:space="preserve"> explain your strategies for </w:t>
      </w:r>
      <w:r w:rsidR="004532AD">
        <w:t xml:space="preserve">assisting the state achieve </w:t>
      </w:r>
      <w:r w:rsidR="00027A63">
        <w:t xml:space="preserve">its quality and population health goals </w:t>
      </w:r>
      <w:r w:rsidR="005B0FA7">
        <w:t>as specified in</w:t>
      </w:r>
      <w:r w:rsidR="00027A63">
        <w:t xml:space="preserve"> the APM.</w:t>
      </w:r>
      <w:r w:rsidR="008623A9">
        <w:t xml:space="preserve"> </w:t>
      </w:r>
      <w:proofErr w:type="gramStart"/>
      <w:r w:rsidR="008623A9" w:rsidRPr="0055606D">
        <w:rPr>
          <w:i/>
          <w:iCs/>
          <w:color w:val="A6A6A6" w:themeColor="background1" w:themeShade="A6"/>
        </w:rPr>
        <w:t>In particular, please</w:t>
      </w:r>
      <w:proofErr w:type="gramEnd"/>
      <w:r w:rsidR="008623A9" w:rsidRPr="0055606D">
        <w:rPr>
          <w:i/>
          <w:iCs/>
          <w:color w:val="A6A6A6" w:themeColor="background1" w:themeShade="A6"/>
        </w:rPr>
        <w:t xml:space="preserve"> </w:t>
      </w:r>
      <w:r w:rsidR="007E7552" w:rsidRPr="0055606D">
        <w:rPr>
          <w:i/>
          <w:iCs/>
          <w:color w:val="A6A6A6" w:themeColor="background1" w:themeShade="A6"/>
        </w:rPr>
        <w:t xml:space="preserve">rank HSAs in their </w:t>
      </w:r>
      <w:r w:rsidR="003F15BA" w:rsidRPr="0055606D">
        <w:rPr>
          <w:i/>
          <w:iCs/>
          <w:color w:val="A6A6A6" w:themeColor="background1" w:themeShade="A6"/>
        </w:rPr>
        <w:t xml:space="preserve">contribution to </w:t>
      </w:r>
      <w:r w:rsidR="00C9559A" w:rsidRPr="0055606D">
        <w:rPr>
          <w:i/>
          <w:iCs/>
          <w:color w:val="A6A6A6" w:themeColor="background1" w:themeShade="A6"/>
        </w:rPr>
        <w:t xml:space="preserve">the State’s </w:t>
      </w:r>
      <w:r w:rsidR="003F15BA" w:rsidRPr="0055606D">
        <w:rPr>
          <w:i/>
          <w:iCs/>
          <w:color w:val="A6A6A6" w:themeColor="background1" w:themeShade="A6"/>
        </w:rPr>
        <w:t xml:space="preserve">performance on the quality goals of the APM and explain how you </w:t>
      </w:r>
      <w:r w:rsidR="00313A01">
        <w:rPr>
          <w:i/>
          <w:iCs/>
          <w:color w:val="A6A6A6" w:themeColor="background1" w:themeShade="A6"/>
        </w:rPr>
        <w:t xml:space="preserve">are </w:t>
      </w:r>
      <w:r w:rsidR="00C9559A" w:rsidRPr="0055606D">
        <w:rPr>
          <w:i/>
          <w:iCs/>
          <w:color w:val="A6A6A6" w:themeColor="background1" w:themeShade="A6"/>
        </w:rPr>
        <w:t xml:space="preserve">supporting </w:t>
      </w:r>
      <w:r w:rsidR="007054BC" w:rsidRPr="0055606D">
        <w:rPr>
          <w:i/>
          <w:iCs/>
          <w:color w:val="A6A6A6" w:themeColor="background1" w:themeShade="A6"/>
        </w:rPr>
        <w:t xml:space="preserve">their continuous improvement </w:t>
      </w:r>
      <w:r w:rsidR="00313A01">
        <w:rPr>
          <w:i/>
          <w:iCs/>
          <w:color w:val="A6A6A6" w:themeColor="background1" w:themeShade="A6"/>
        </w:rPr>
        <w:t>on</w:t>
      </w:r>
      <w:r w:rsidR="007054BC" w:rsidRPr="0055606D">
        <w:rPr>
          <w:i/>
          <w:iCs/>
          <w:color w:val="A6A6A6" w:themeColor="background1" w:themeShade="A6"/>
        </w:rPr>
        <w:t xml:space="preserve"> these goals.</w:t>
      </w:r>
      <w:r w:rsidR="0055606D">
        <w:t xml:space="preserve"> Please discuss the </w:t>
      </w:r>
      <w:r w:rsidR="00AD0BFB">
        <w:t xml:space="preserve">expected </w:t>
      </w:r>
      <w:r w:rsidR="0055606D">
        <w:t xml:space="preserve">impact of COVID-19 on </w:t>
      </w:r>
      <w:r w:rsidR="00AD0BFB">
        <w:t>2020 performance</w:t>
      </w:r>
      <w:r w:rsidR="00667C1B">
        <w:t>, shar</w:t>
      </w:r>
      <w:r w:rsidR="00313A01">
        <w:t>ing</w:t>
      </w:r>
      <w:r w:rsidR="00667C1B">
        <w:t xml:space="preserve"> any early indicators or relevant insights.</w:t>
      </w:r>
    </w:p>
    <w:p w14:paraId="315615DE" w14:textId="554C8975" w:rsidR="00CE6015" w:rsidRPr="002E52B0" w:rsidRDefault="00417ED5" w:rsidP="0008681A">
      <w:pPr>
        <w:pStyle w:val="Heading2"/>
        <w:spacing w:line="240" w:lineRule="auto"/>
        <w:rPr>
          <w:color w:val="A6A6A6" w:themeColor="background1" w:themeShade="A6"/>
        </w:rPr>
      </w:pPr>
      <w:bookmarkStart w:id="17" w:name="_Toc42002467"/>
      <w:r w:rsidRPr="002E52B0">
        <w:rPr>
          <w:color w:val="A6A6A6" w:themeColor="background1" w:themeShade="A6"/>
        </w:rPr>
        <w:t xml:space="preserve">Section 8: </w:t>
      </w:r>
      <w:r w:rsidR="00650B75" w:rsidRPr="002E52B0">
        <w:rPr>
          <w:color w:val="A6A6A6" w:themeColor="background1" w:themeShade="A6"/>
        </w:rPr>
        <w:t>Other Vermont All-Payer ACO Model Questions</w:t>
      </w:r>
      <w:bookmarkEnd w:id="17"/>
    </w:p>
    <w:p w14:paraId="46BDB0D9" w14:textId="19FE41D7" w:rsidR="00BB5840" w:rsidRPr="002E52B0" w:rsidRDefault="00BB5840" w:rsidP="00374F3A">
      <w:pPr>
        <w:pStyle w:val="ListParagraph"/>
        <w:numPr>
          <w:ilvl w:val="0"/>
          <w:numId w:val="19"/>
        </w:numPr>
        <w:rPr>
          <w:color w:val="A6A6A6" w:themeColor="background1" w:themeShade="A6"/>
        </w:rPr>
      </w:pPr>
      <w:r w:rsidRPr="002E52B0">
        <w:rPr>
          <w:color w:val="A6A6A6" w:themeColor="background1" w:themeShade="A6"/>
        </w:rPr>
        <w:t xml:space="preserve">How are you ensuring that your portfolio of programs </w:t>
      </w:r>
      <w:proofErr w:type="gramStart"/>
      <w:r w:rsidRPr="002E52B0">
        <w:rPr>
          <w:color w:val="A6A6A6" w:themeColor="background1" w:themeShade="A6"/>
        </w:rPr>
        <w:t>are</w:t>
      </w:r>
      <w:proofErr w:type="gramEnd"/>
      <w:r w:rsidRPr="002E52B0">
        <w:rPr>
          <w:color w:val="A6A6A6" w:themeColor="background1" w:themeShade="A6"/>
        </w:rPr>
        <w:t xml:space="preserve"> coordinated in such a way that </w:t>
      </w:r>
      <w:r w:rsidR="00300C8C" w:rsidRPr="002E52B0">
        <w:rPr>
          <w:color w:val="A6A6A6" w:themeColor="background1" w:themeShade="A6"/>
        </w:rPr>
        <w:t>allocates resources most efficiently for supporting the goals under the Vermont All-Payer ACO Model?</w:t>
      </w:r>
    </w:p>
    <w:p w14:paraId="3C3F0B6A" w14:textId="6473BA44" w:rsidR="00F578F2" w:rsidRPr="002E52B0" w:rsidRDefault="00F578F2" w:rsidP="00374F3A">
      <w:pPr>
        <w:pStyle w:val="ListParagraph"/>
        <w:numPr>
          <w:ilvl w:val="0"/>
          <w:numId w:val="19"/>
        </w:numPr>
        <w:rPr>
          <w:color w:val="A6A6A6" w:themeColor="background1" w:themeShade="A6"/>
        </w:rPr>
      </w:pPr>
      <w:r w:rsidRPr="002E52B0">
        <w:rPr>
          <w:color w:val="A6A6A6" w:themeColor="background1" w:themeShade="A6"/>
        </w:rPr>
        <w:t xml:space="preserve">What other actions can healthcare stakeholder be taking to support the goals of the Vermont All-Payer </w:t>
      </w:r>
      <w:r w:rsidR="00650B75" w:rsidRPr="002E52B0">
        <w:rPr>
          <w:color w:val="A6A6A6" w:themeColor="background1" w:themeShade="A6"/>
        </w:rPr>
        <w:t xml:space="preserve">ACO </w:t>
      </w:r>
      <w:r w:rsidRPr="002E52B0">
        <w:rPr>
          <w:color w:val="A6A6A6" w:themeColor="background1" w:themeShade="A6"/>
        </w:rPr>
        <w:t>Model?</w:t>
      </w:r>
    </w:p>
    <w:p w14:paraId="7F23B06A" w14:textId="4E0BBBF9" w:rsidR="004E7618" w:rsidRDefault="00336865" w:rsidP="0008681A">
      <w:pPr>
        <w:pStyle w:val="Heading1"/>
        <w:spacing w:line="240" w:lineRule="auto"/>
      </w:pPr>
      <w:bookmarkStart w:id="18" w:name="_Toc42002468"/>
      <w:r>
        <w:t xml:space="preserve">PART II. </w:t>
      </w:r>
      <w:r w:rsidR="00121859">
        <w:t xml:space="preserve">ACO </w:t>
      </w:r>
      <w:r w:rsidR="001A7A3C">
        <w:t>BUDGET TARGETS</w:t>
      </w:r>
      <w:bookmarkEnd w:id="18"/>
    </w:p>
    <w:p w14:paraId="547D22B4" w14:textId="3549B0F4" w:rsidR="00B104D3" w:rsidRDefault="00B104D3" w:rsidP="00B104D3">
      <w:pPr>
        <w:spacing w:after="200"/>
        <w:rPr>
          <w:rFonts w:eastAsia="Calibri"/>
          <w:i/>
          <w:iCs/>
        </w:rPr>
      </w:pPr>
      <w:r w:rsidRPr="00B104D3">
        <w:rPr>
          <w:rFonts w:eastAsia="Calibri"/>
          <w:i/>
          <w:iCs/>
        </w:rPr>
        <w:t>A</w:t>
      </w:r>
      <w:r>
        <w:rPr>
          <w:rFonts w:eastAsia="Calibri"/>
          <w:i/>
          <w:iCs/>
        </w:rPr>
        <w:t>ll-Payer Model Agreement Growth and ACO Financial Targets</w:t>
      </w:r>
    </w:p>
    <w:p w14:paraId="7649D104" w14:textId="1B097293" w:rsidR="00B104D3" w:rsidRPr="00B104D3" w:rsidRDefault="00B104D3" w:rsidP="00B104D3">
      <w:pPr>
        <w:spacing w:after="200"/>
        <w:rPr>
          <w:rFonts w:eastAsia="Calibri"/>
        </w:rPr>
      </w:pPr>
      <w:r w:rsidRPr="00B104D3">
        <w:rPr>
          <w:rFonts w:eastAsia="Calibri"/>
        </w:rPr>
        <w:t>In deciding whether to approve or modify an ACO’s proposed budget, the Board will take into consideration the requirements of the Vermont All-Payer Accountable Care Organization Model Agreement (the Agreement), including the All-Payer Total Cost of Care per Beneficiary Growth Target, the Medicare Total Cost of Care per Beneficiary Growth Target, the ACO Scale Targets, and the Statewide Health Outcomes and Quality of Care Targets. GMCB Rule 5.000, § 5.405(b), (c).</w:t>
      </w:r>
    </w:p>
    <w:p w14:paraId="3FA4A882" w14:textId="0BDE1FE0" w:rsidR="00B104D3" w:rsidRPr="00B104D3" w:rsidRDefault="00B104D3" w:rsidP="00B104D3">
      <w:pPr>
        <w:spacing w:after="200"/>
        <w:rPr>
          <w:rFonts w:eastAsia="Calibri"/>
        </w:rPr>
      </w:pPr>
      <w:r w:rsidRPr="00B104D3">
        <w:rPr>
          <w:rFonts w:eastAsia="Calibri"/>
        </w:rPr>
        <w:t xml:space="preserve">The All-Payer Total Cost of Care (TCOC) per Beneficiary Growth target is a compounding annual growth rate comparing the per person costs in 2017 to those in 2022. Each year, the State is assessed to determine how its observed growth compares to the Agreement’s targeted range (3.5% to 4.3%). Vermont residents are included in the All-Payer calculation </w:t>
      </w:r>
      <w:proofErr w:type="gramStart"/>
      <w:r w:rsidRPr="00B104D3">
        <w:rPr>
          <w:rFonts w:eastAsia="Calibri"/>
        </w:rPr>
        <w:t>whether or not</w:t>
      </w:r>
      <w:proofErr w:type="gramEnd"/>
      <w:r w:rsidRPr="00B104D3">
        <w:rPr>
          <w:rFonts w:eastAsia="Calibri"/>
        </w:rPr>
        <w:t xml:space="preserve"> they are attributed to an ACO Initiative.</w:t>
      </w:r>
    </w:p>
    <w:p w14:paraId="5E692656" w14:textId="77777777" w:rsidR="00B104D3" w:rsidRDefault="00B104D3" w:rsidP="00B104D3">
      <w:pPr>
        <w:spacing w:after="200"/>
        <w:rPr>
          <w:rFonts w:eastAsia="Calibri"/>
        </w:rPr>
      </w:pPr>
      <w:r w:rsidRPr="00B104D3">
        <w:rPr>
          <w:rFonts w:eastAsia="Calibri"/>
        </w:rPr>
        <w:t xml:space="preserve">The Medicare TCOC per Beneficiary Growth target measures compounding annual growth for a subset of the Vermont residents included in the All-Payer TCOC calculation. However, instead of a target that is fixed in the Agreement, targets are based on projected growth for Medicare beneficiaries nationally (see Table 1 for the projections and targets to date). For the remainder of the Agreement, all Vermont Medicare beneficiaries are included in the calculation </w:t>
      </w:r>
      <w:proofErr w:type="gramStart"/>
      <w:r w:rsidRPr="00B104D3">
        <w:rPr>
          <w:rFonts w:eastAsia="Calibri"/>
        </w:rPr>
        <w:t>whether or not</w:t>
      </w:r>
      <w:proofErr w:type="gramEnd"/>
      <w:r w:rsidRPr="00B104D3">
        <w:rPr>
          <w:rFonts w:eastAsia="Calibri"/>
        </w:rPr>
        <w:t xml:space="preserve"> they are attributed to an ACO Initiative.</w:t>
      </w:r>
    </w:p>
    <w:p w14:paraId="1B0B443E" w14:textId="77777777" w:rsidR="00B104D3" w:rsidRPr="00B104D3" w:rsidRDefault="00B104D3" w:rsidP="00B104D3">
      <w:pPr>
        <w:spacing w:after="0"/>
        <w:textAlignment w:val="baseline"/>
        <w:rPr>
          <w:rFonts w:ascii="Segoe UI" w:hAnsi="Segoe UI" w:cs="Segoe UI"/>
          <w:b/>
          <w:bCs/>
          <w:sz w:val="18"/>
          <w:szCs w:val="18"/>
        </w:rPr>
      </w:pPr>
      <w:bookmarkStart w:id="19" w:name="_Hlk9601563"/>
      <w:r w:rsidRPr="00B104D3">
        <w:rPr>
          <w:b/>
          <w:bCs/>
        </w:rPr>
        <w:t>Table </w:t>
      </w:r>
      <w:r w:rsidRPr="00B104D3">
        <w:rPr>
          <w:b/>
          <w:bCs/>
          <w:color w:val="000000"/>
          <w:shd w:val="clear" w:color="auto" w:fill="E1E3E6"/>
        </w:rPr>
        <w:t>1</w:t>
      </w:r>
      <w:r w:rsidRPr="00B104D3">
        <w:rPr>
          <w:b/>
          <w:bCs/>
        </w:rPr>
        <w:t>: Medicare Advantage United States Per Capita Fee-For-Service Projections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8"/>
        <w:gridCol w:w="1164"/>
        <w:gridCol w:w="1074"/>
        <w:gridCol w:w="1166"/>
        <w:gridCol w:w="1118"/>
        <w:gridCol w:w="1107"/>
        <w:gridCol w:w="1207"/>
      </w:tblGrid>
      <w:tr w:rsidR="00B104D3" w:rsidRPr="00B104D3" w14:paraId="6E2FDF3F" w14:textId="77777777" w:rsidTr="00B104D3">
        <w:trPr>
          <w:trHeight w:val="45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45D093" w14:textId="77777777" w:rsidR="00B104D3" w:rsidRPr="00B104D3" w:rsidRDefault="00B104D3" w:rsidP="00B104D3">
            <w:pPr>
              <w:spacing w:after="0"/>
              <w:textAlignment w:val="baseline"/>
            </w:pPr>
            <w:r w:rsidRPr="00B104D3">
              <w:rPr>
                <w:rFonts w:ascii="Calibri" w:hAnsi="Calibri" w:cs="Calibri"/>
                <w:sz w:val="20"/>
                <w:szCs w:val="20"/>
              </w:rPr>
              <w:t> </w:t>
            </w:r>
          </w:p>
        </w:tc>
        <w:tc>
          <w:tcPr>
            <w:tcW w:w="2250" w:type="dxa"/>
            <w:gridSpan w:val="2"/>
            <w:tcBorders>
              <w:top w:val="single" w:sz="6" w:space="0" w:color="auto"/>
              <w:left w:val="nil"/>
              <w:bottom w:val="single" w:sz="6" w:space="0" w:color="auto"/>
              <w:right w:val="single" w:sz="6" w:space="0" w:color="auto"/>
            </w:tcBorders>
            <w:shd w:val="clear" w:color="auto" w:fill="auto"/>
            <w:vAlign w:val="center"/>
            <w:hideMark/>
          </w:tcPr>
          <w:p w14:paraId="035F46E9" w14:textId="77777777" w:rsidR="00B104D3" w:rsidRPr="00B104D3" w:rsidRDefault="00B104D3" w:rsidP="00B104D3">
            <w:pPr>
              <w:spacing w:after="0"/>
              <w:jc w:val="center"/>
              <w:textAlignment w:val="baseline"/>
            </w:pPr>
            <w:r w:rsidRPr="00B104D3">
              <w:rPr>
                <w:b/>
                <w:bCs/>
                <w:sz w:val="20"/>
                <w:szCs w:val="20"/>
              </w:rPr>
              <w:t>Aged and Disabled</w:t>
            </w:r>
            <w:r w:rsidRPr="00B104D3">
              <w:rPr>
                <w:sz w:val="20"/>
                <w:szCs w:val="20"/>
              </w:rPr>
              <w:t> </w:t>
            </w:r>
          </w:p>
        </w:tc>
        <w:tc>
          <w:tcPr>
            <w:tcW w:w="2295" w:type="dxa"/>
            <w:gridSpan w:val="2"/>
            <w:tcBorders>
              <w:top w:val="single" w:sz="6" w:space="0" w:color="auto"/>
              <w:left w:val="nil"/>
              <w:bottom w:val="single" w:sz="6" w:space="0" w:color="auto"/>
              <w:right w:val="single" w:sz="6" w:space="0" w:color="auto"/>
            </w:tcBorders>
            <w:shd w:val="clear" w:color="auto" w:fill="auto"/>
            <w:vAlign w:val="center"/>
            <w:hideMark/>
          </w:tcPr>
          <w:p w14:paraId="79301243" w14:textId="77777777" w:rsidR="00B104D3" w:rsidRPr="00B104D3" w:rsidRDefault="00B104D3" w:rsidP="00B104D3">
            <w:pPr>
              <w:spacing w:after="0"/>
              <w:jc w:val="center"/>
              <w:textAlignment w:val="baseline"/>
            </w:pPr>
            <w:r w:rsidRPr="00B104D3">
              <w:rPr>
                <w:b/>
                <w:bCs/>
                <w:sz w:val="20"/>
                <w:szCs w:val="20"/>
              </w:rPr>
              <w:t>ESRD</w:t>
            </w:r>
            <w:r w:rsidRPr="00B104D3">
              <w:rPr>
                <w:sz w:val="20"/>
                <w:szCs w:val="20"/>
              </w:rPr>
              <w:t> </w:t>
            </w:r>
          </w:p>
        </w:tc>
        <w:tc>
          <w:tcPr>
            <w:tcW w:w="2295" w:type="dxa"/>
            <w:gridSpan w:val="2"/>
            <w:tcBorders>
              <w:top w:val="single" w:sz="6" w:space="0" w:color="auto"/>
              <w:left w:val="nil"/>
              <w:bottom w:val="single" w:sz="6" w:space="0" w:color="auto"/>
              <w:right w:val="single" w:sz="6" w:space="0" w:color="auto"/>
            </w:tcBorders>
            <w:shd w:val="clear" w:color="auto" w:fill="auto"/>
            <w:vAlign w:val="center"/>
            <w:hideMark/>
          </w:tcPr>
          <w:p w14:paraId="44398854" w14:textId="77777777" w:rsidR="00B104D3" w:rsidRPr="00B104D3" w:rsidRDefault="00B104D3" w:rsidP="00B104D3">
            <w:pPr>
              <w:spacing w:after="0"/>
              <w:jc w:val="center"/>
              <w:textAlignment w:val="baseline"/>
            </w:pPr>
            <w:r w:rsidRPr="00B104D3">
              <w:rPr>
                <w:b/>
                <w:bCs/>
                <w:sz w:val="20"/>
                <w:szCs w:val="20"/>
              </w:rPr>
              <w:t>Blended</w:t>
            </w:r>
            <w:r w:rsidRPr="00B104D3">
              <w:rPr>
                <w:rFonts w:ascii="Calibri" w:hAnsi="Calibri" w:cs="Calibri"/>
                <w:sz w:val="20"/>
                <w:szCs w:val="20"/>
              </w:rPr>
              <w:t>  </w:t>
            </w:r>
            <w:r w:rsidRPr="00B104D3">
              <w:rPr>
                <w:rFonts w:ascii="Calibri" w:hAnsi="Calibri" w:cs="Calibri"/>
                <w:sz w:val="20"/>
                <w:szCs w:val="20"/>
              </w:rPr>
              <w:br/>
            </w:r>
            <w:r w:rsidRPr="00B104D3">
              <w:rPr>
                <w:sz w:val="20"/>
                <w:szCs w:val="20"/>
              </w:rPr>
              <w:t>(0.36% ESRD) </w:t>
            </w:r>
          </w:p>
        </w:tc>
      </w:tr>
      <w:tr w:rsidR="00B104D3" w:rsidRPr="00B104D3" w14:paraId="0619DA4D" w14:textId="77777777" w:rsidTr="00B104D3">
        <w:trPr>
          <w:trHeight w:val="480"/>
        </w:trPr>
        <w:tc>
          <w:tcPr>
            <w:tcW w:w="3255" w:type="dxa"/>
            <w:tcBorders>
              <w:top w:val="nil"/>
              <w:left w:val="single" w:sz="6" w:space="0" w:color="auto"/>
              <w:bottom w:val="single" w:sz="6" w:space="0" w:color="auto"/>
              <w:right w:val="single" w:sz="6" w:space="0" w:color="auto"/>
            </w:tcBorders>
            <w:shd w:val="clear" w:color="auto" w:fill="auto"/>
            <w:vAlign w:val="center"/>
            <w:hideMark/>
          </w:tcPr>
          <w:p w14:paraId="3D9460D5" w14:textId="77777777" w:rsidR="00B104D3" w:rsidRPr="00B104D3" w:rsidRDefault="00B104D3" w:rsidP="00B104D3">
            <w:pPr>
              <w:spacing w:after="0"/>
              <w:textAlignment w:val="baseline"/>
            </w:pPr>
            <w:r w:rsidRPr="00B104D3">
              <w:rPr>
                <w:sz w:val="20"/>
                <w:szCs w:val="20"/>
              </w:rPr>
              <w:t>2017 to 2018 </w:t>
            </w:r>
          </w:p>
        </w:tc>
        <w:tc>
          <w:tcPr>
            <w:tcW w:w="1170" w:type="dxa"/>
            <w:tcBorders>
              <w:top w:val="nil"/>
              <w:left w:val="nil"/>
              <w:bottom w:val="single" w:sz="6" w:space="0" w:color="auto"/>
              <w:right w:val="single" w:sz="6" w:space="0" w:color="auto"/>
            </w:tcBorders>
            <w:shd w:val="clear" w:color="auto" w:fill="auto"/>
            <w:vAlign w:val="center"/>
            <w:hideMark/>
          </w:tcPr>
          <w:p w14:paraId="0053A96B" w14:textId="77777777" w:rsidR="00B104D3" w:rsidRPr="00B104D3" w:rsidRDefault="00B104D3" w:rsidP="00B104D3">
            <w:pPr>
              <w:spacing w:after="0"/>
              <w:jc w:val="center"/>
              <w:textAlignment w:val="baseline"/>
            </w:pPr>
            <w:r w:rsidRPr="00B104D3">
              <w:rPr>
                <w:sz w:val="20"/>
                <w:szCs w:val="20"/>
              </w:rPr>
              <w:t>Floor </w:t>
            </w:r>
          </w:p>
        </w:tc>
        <w:tc>
          <w:tcPr>
            <w:tcW w:w="1080" w:type="dxa"/>
            <w:tcBorders>
              <w:top w:val="nil"/>
              <w:left w:val="nil"/>
              <w:bottom w:val="single" w:sz="6" w:space="0" w:color="auto"/>
              <w:right w:val="single" w:sz="6" w:space="0" w:color="auto"/>
            </w:tcBorders>
            <w:shd w:val="clear" w:color="auto" w:fill="auto"/>
            <w:vAlign w:val="center"/>
            <w:hideMark/>
          </w:tcPr>
          <w:p w14:paraId="24971FC6" w14:textId="77777777" w:rsidR="00B104D3" w:rsidRPr="00B104D3" w:rsidRDefault="00B104D3" w:rsidP="00B104D3">
            <w:pPr>
              <w:spacing w:after="0"/>
              <w:jc w:val="center"/>
              <w:textAlignment w:val="baseline"/>
            </w:pPr>
            <w:r w:rsidRPr="00B104D3">
              <w:rPr>
                <w:sz w:val="20"/>
                <w:szCs w:val="20"/>
              </w:rPr>
              <w:t>3.70% </w:t>
            </w:r>
          </w:p>
        </w:tc>
        <w:tc>
          <w:tcPr>
            <w:tcW w:w="1170" w:type="dxa"/>
            <w:tcBorders>
              <w:top w:val="nil"/>
              <w:left w:val="nil"/>
              <w:bottom w:val="single" w:sz="6" w:space="0" w:color="auto"/>
              <w:right w:val="single" w:sz="6" w:space="0" w:color="auto"/>
            </w:tcBorders>
            <w:shd w:val="clear" w:color="auto" w:fill="auto"/>
            <w:vAlign w:val="center"/>
            <w:hideMark/>
          </w:tcPr>
          <w:p w14:paraId="54AAC7B8" w14:textId="77777777" w:rsidR="00B104D3" w:rsidRPr="00B104D3" w:rsidRDefault="00B104D3" w:rsidP="00B104D3">
            <w:pPr>
              <w:spacing w:after="0"/>
              <w:jc w:val="center"/>
              <w:textAlignment w:val="baseline"/>
            </w:pPr>
            <w:r w:rsidRPr="00B104D3">
              <w:rPr>
                <w:sz w:val="20"/>
                <w:szCs w:val="20"/>
              </w:rPr>
              <w:t>Floor </w:t>
            </w:r>
          </w:p>
        </w:tc>
        <w:tc>
          <w:tcPr>
            <w:tcW w:w="1110" w:type="dxa"/>
            <w:tcBorders>
              <w:top w:val="nil"/>
              <w:left w:val="nil"/>
              <w:bottom w:val="single" w:sz="6" w:space="0" w:color="auto"/>
              <w:right w:val="single" w:sz="6" w:space="0" w:color="auto"/>
            </w:tcBorders>
            <w:shd w:val="clear" w:color="auto" w:fill="auto"/>
            <w:vAlign w:val="center"/>
            <w:hideMark/>
          </w:tcPr>
          <w:p w14:paraId="36BCCF70" w14:textId="77777777" w:rsidR="00B104D3" w:rsidRPr="00B104D3" w:rsidRDefault="00B104D3" w:rsidP="00B104D3">
            <w:pPr>
              <w:spacing w:after="0"/>
              <w:jc w:val="center"/>
              <w:textAlignment w:val="baseline"/>
            </w:pPr>
            <w:r w:rsidRPr="00B104D3">
              <w:rPr>
                <w:sz w:val="20"/>
                <w:szCs w:val="20"/>
              </w:rPr>
              <w:t>3.70% </w:t>
            </w:r>
          </w:p>
        </w:tc>
        <w:tc>
          <w:tcPr>
            <w:tcW w:w="1110" w:type="dxa"/>
            <w:tcBorders>
              <w:top w:val="nil"/>
              <w:left w:val="nil"/>
              <w:bottom w:val="single" w:sz="6" w:space="0" w:color="auto"/>
              <w:right w:val="single" w:sz="6" w:space="0" w:color="auto"/>
            </w:tcBorders>
            <w:shd w:val="clear" w:color="auto" w:fill="auto"/>
            <w:vAlign w:val="center"/>
            <w:hideMark/>
          </w:tcPr>
          <w:p w14:paraId="046EBD41" w14:textId="77777777" w:rsidR="00B104D3" w:rsidRPr="00B104D3" w:rsidRDefault="00B104D3" w:rsidP="00B104D3">
            <w:pPr>
              <w:spacing w:after="0"/>
              <w:jc w:val="center"/>
              <w:textAlignment w:val="baseline"/>
            </w:pPr>
            <w:r w:rsidRPr="00B104D3">
              <w:rPr>
                <w:sz w:val="20"/>
                <w:szCs w:val="20"/>
              </w:rPr>
              <w:t>Floor </w:t>
            </w:r>
          </w:p>
        </w:tc>
        <w:tc>
          <w:tcPr>
            <w:tcW w:w="1170" w:type="dxa"/>
            <w:tcBorders>
              <w:top w:val="nil"/>
              <w:left w:val="nil"/>
              <w:bottom w:val="single" w:sz="6" w:space="0" w:color="auto"/>
              <w:right w:val="single" w:sz="6" w:space="0" w:color="auto"/>
            </w:tcBorders>
            <w:shd w:val="clear" w:color="auto" w:fill="auto"/>
            <w:vAlign w:val="center"/>
            <w:hideMark/>
          </w:tcPr>
          <w:p w14:paraId="275F179E" w14:textId="77777777" w:rsidR="00B104D3" w:rsidRPr="00B104D3" w:rsidRDefault="00B104D3" w:rsidP="00B104D3">
            <w:pPr>
              <w:spacing w:after="0"/>
              <w:jc w:val="center"/>
              <w:textAlignment w:val="baseline"/>
            </w:pPr>
            <w:r w:rsidRPr="00B104D3">
              <w:rPr>
                <w:sz w:val="20"/>
                <w:szCs w:val="20"/>
              </w:rPr>
              <w:t>3.70% </w:t>
            </w:r>
          </w:p>
        </w:tc>
      </w:tr>
      <w:tr w:rsidR="00B104D3" w:rsidRPr="00B104D3" w14:paraId="5E23B1F1" w14:textId="77777777" w:rsidTr="00B104D3">
        <w:trPr>
          <w:trHeight w:val="450"/>
        </w:trPr>
        <w:tc>
          <w:tcPr>
            <w:tcW w:w="3255" w:type="dxa"/>
            <w:tcBorders>
              <w:top w:val="nil"/>
              <w:left w:val="single" w:sz="6" w:space="0" w:color="auto"/>
              <w:bottom w:val="single" w:sz="6" w:space="0" w:color="auto"/>
              <w:right w:val="single" w:sz="6" w:space="0" w:color="auto"/>
            </w:tcBorders>
            <w:shd w:val="clear" w:color="auto" w:fill="auto"/>
            <w:vAlign w:val="center"/>
            <w:hideMark/>
          </w:tcPr>
          <w:p w14:paraId="28D85D8B" w14:textId="77777777" w:rsidR="00B104D3" w:rsidRPr="00B104D3" w:rsidRDefault="00B104D3" w:rsidP="00B104D3">
            <w:pPr>
              <w:spacing w:after="0"/>
              <w:textAlignment w:val="baseline"/>
            </w:pPr>
            <w:r w:rsidRPr="00B104D3">
              <w:rPr>
                <w:sz w:val="20"/>
                <w:szCs w:val="20"/>
              </w:rPr>
              <w:lastRenderedPageBreak/>
              <w:t>2018 to 2019 </w:t>
            </w:r>
          </w:p>
        </w:tc>
        <w:tc>
          <w:tcPr>
            <w:tcW w:w="1170" w:type="dxa"/>
            <w:tcBorders>
              <w:top w:val="nil"/>
              <w:left w:val="nil"/>
              <w:bottom w:val="single" w:sz="6" w:space="0" w:color="auto"/>
              <w:right w:val="single" w:sz="6" w:space="0" w:color="auto"/>
            </w:tcBorders>
            <w:shd w:val="clear" w:color="auto" w:fill="auto"/>
            <w:vAlign w:val="center"/>
            <w:hideMark/>
          </w:tcPr>
          <w:p w14:paraId="0F895F5D" w14:textId="77777777" w:rsidR="00B104D3" w:rsidRPr="00B104D3" w:rsidRDefault="00B104D3" w:rsidP="00B104D3">
            <w:pPr>
              <w:spacing w:after="0"/>
              <w:jc w:val="center"/>
              <w:textAlignment w:val="baseline"/>
            </w:pPr>
            <w:r w:rsidRPr="00B104D3">
              <w:rPr>
                <w:sz w:val="20"/>
                <w:szCs w:val="20"/>
                <w:u w:val="single"/>
              </w:rPr>
              <w:t>$891.07</w:t>
            </w:r>
            <w:r w:rsidRPr="00B104D3">
              <w:rPr>
                <w:sz w:val="20"/>
                <w:szCs w:val="20"/>
              </w:rPr>
              <w:t> </w:t>
            </w:r>
          </w:p>
          <w:p w14:paraId="241C194D" w14:textId="77777777" w:rsidR="00B104D3" w:rsidRPr="00B104D3" w:rsidRDefault="00B104D3" w:rsidP="00B104D3">
            <w:pPr>
              <w:spacing w:after="0"/>
              <w:jc w:val="center"/>
              <w:textAlignment w:val="baseline"/>
            </w:pPr>
            <w:r w:rsidRPr="00B104D3">
              <w:rPr>
                <w:sz w:val="20"/>
                <w:szCs w:val="20"/>
              </w:rPr>
              <w:t>$856.41 </w:t>
            </w:r>
          </w:p>
        </w:tc>
        <w:tc>
          <w:tcPr>
            <w:tcW w:w="1080" w:type="dxa"/>
            <w:tcBorders>
              <w:top w:val="nil"/>
              <w:left w:val="nil"/>
              <w:bottom w:val="single" w:sz="6" w:space="0" w:color="auto"/>
              <w:right w:val="single" w:sz="6" w:space="0" w:color="auto"/>
            </w:tcBorders>
            <w:shd w:val="clear" w:color="auto" w:fill="auto"/>
            <w:vAlign w:val="center"/>
            <w:hideMark/>
          </w:tcPr>
          <w:p w14:paraId="65036062" w14:textId="77777777" w:rsidR="00B104D3" w:rsidRPr="00B104D3" w:rsidRDefault="00B104D3" w:rsidP="00B104D3">
            <w:pPr>
              <w:spacing w:after="0"/>
              <w:jc w:val="center"/>
              <w:textAlignment w:val="baseline"/>
            </w:pPr>
            <w:r w:rsidRPr="00B104D3">
              <w:rPr>
                <w:sz w:val="20"/>
                <w:szCs w:val="20"/>
              </w:rPr>
              <w:t>4.05% </w:t>
            </w:r>
          </w:p>
        </w:tc>
        <w:tc>
          <w:tcPr>
            <w:tcW w:w="1170" w:type="dxa"/>
            <w:tcBorders>
              <w:top w:val="nil"/>
              <w:left w:val="nil"/>
              <w:bottom w:val="single" w:sz="6" w:space="0" w:color="auto"/>
              <w:right w:val="single" w:sz="6" w:space="0" w:color="auto"/>
            </w:tcBorders>
            <w:shd w:val="clear" w:color="auto" w:fill="auto"/>
            <w:vAlign w:val="center"/>
            <w:hideMark/>
          </w:tcPr>
          <w:p w14:paraId="4D957F65" w14:textId="77777777" w:rsidR="00B104D3" w:rsidRPr="00B104D3" w:rsidRDefault="00B104D3" w:rsidP="00B104D3">
            <w:pPr>
              <w:spacing w:after="0"/>
              <w:jc w:val="center"/>
              <w:textAlignment w:val="baseline"/>
            </w:pPr>
            <w:r w:rsidRPr="00B104D3">
              <w:rPr>
                <w:sz w:val="20"/>
                <w:szCs w:val="20"/>
                <w:u w:val="single"/>
              </w:rPr>
              <w:t>$7,833.28</w:t>
            </w:r>
            <w:r w:rsidRPr="00B104D3">
              <w:rPr>
                <w:sz w:val="20"/>
                <w:szCs w:val="20"/>
              </w:rPr>
              <w:t> </w:t>
            </w:r>
          </w:p>
          <w:p w14:paraId="7B451FD4" w14:textId="77777777" w:rsidR="00B104D3" w:rsidRPr="00B104D3" w:rsidRDefault="00B104D3" w:rsidP="00B104D3">
            <w:pPr>
              <w:spacing w:after="0"/>
              <w:jc w:val="center"/>
              <w:textAlignment w:val="baseline"/>
            </w:pPr>
            <w:r w:rsidRPr="00B104D3">
              <w:rPr>
                <w:sz w:val="20"/>
                <w:szCs w:val="20"/>
              </w:rPr>
              <w:t>$7,586.28 </w:t>
            </w:r>
          </w:p>
        </w:tc>
        <w:tc>
          <w:tcPr>
            <w:tcW w:w="1110" w:type="dxa"/>
            <w:tcBorders>
              <w:top w:val="nil"/>
              <w:left w:val="nil"/>
              <w:bottom w:val="single" w:sz="6" w:space="0" w:color="auto"/>
              <w:right w:val="single" w:sz="6" w:space="0" w:color="auto"/>
            </w:tcBorders>
            <w:shd w:val="clear" w:color="auto" w:fill="auto"/>
            <w:vAlign w:val="center"/>
            <w:hideMark/>
          </w:tcPr>
          <w:p w14:paraId="25E2F590" w14:textId="77777777" w:rsidR="00B104D3" w:rsidRPr="00B104D3" w:rsidRDefault="00B104D3" w:rsidP="00B104D3">
            <w:pPr>
              <w:spacing w:after="0"/>
              <w:jc w:val="center"/>
              <w:textAlignment w:val="baseline"/>
            </w:pPr>
            <w:r w:rsidRPr="00B104D3">
              <w:rPr>
                <w:sz w:val="20"/>
                <w:szCs w:val="20"/>
              </w:rPr>
              <w:t>3.26% </w:t>
            </w:r>
          </w:p>
        </w:tc>
        <w:tc>
          <w:tcPr>
            <w:tcW w:w="1110" w:type="dxa"/>
            <w:tcBorders>
              <w:top w:val="nil"/>
              <w:left w:val="nil"/>
              <w:bottom w:val="single" w:sz="6" w:space="0" w:color="auto"/>
              <w:right w:val="single" w:sz="6" w:space="0" w:color="auto"/>
            </w:tcBorders>
            <w:shd w:val="clear" w:color="auto" w:fill="auto"/>
            <w:vAlign w:val="center"/>
            <w:hideMark/>
          </w:tcPr>
          <w:p w14:paraId="0EF35E5F" w14:textId="77777777" w:rsidR="00B104D3" w:rsidRPr="00B104D3" w:rsidRDefault="00B104D3" w:rsidP="00B104D3">
            <w:pPr>
              <w:spacing w:after="0"/>
              <w:jc w:val="center"/>
              <w:textAlignment w:val="baseline"/>
            </w:pPr>
            <w:r w:rsidRPr="00B104D3">
              <w:rPr>
                <w:sz w:val="20"/>
                <w:szCs w:val="20"/>
                <w:u w:val="single"/>
              </w:rPr>
              <w:t>$916.06</w:t>
            </w:r>
            <w:r w:rsidRPr="00B104D3">
              <w:rPr>
                <w:sz w:val="20"/>
                <w:szCs w:val="20"/>
              </w:rPr>
              <w:t> </w:t>
            </w:r>
          </w:p>
          <w:p w14:paraId="297819CF" w14:textId="77777777" w:rsidR="00B104D3" w:rsidRPr="00B104D3" w:rsidRDefault="00B104D3" w:rsidP="00B104D3">
            <w:pPr>
              <w:spacing w:after="0"/>
              <w:jc w:val="center"/>
              <w:textAlignment w:val="baseline"/>
            </w:pPr>
            <w:r w:rsidRPr="00B104D3">
              <w:rPr>
                <w:sz w:val="20"/>
                <w:szCs w:val="20"/>
              </w:rPr>
              <w:t>$880.64 </w:t>
            </w:r>
          </w:p>
        </w:tc>
        <w:tc>
          <w:tcPr>
            <w:tcW w:w="1170" w:type="dxa"/>
            <w:tcBorders>
              <w:top w:val="nil"/>
              <w:left w:val="nil"/>
              <w:bottom w:val="single" w:sz="6" w:space="0" w:color="auto"/>
              <w:right w:val="single" w:sz="6" w:space="0" w:color="auto"/>
            </w:tcBorders>
            <w:shd w:val="clear" w:color="auto" w:fill="auto"/>
            <w:vAlign w:val="center"/>
            <w:hideMark/>
          </w:tcPr>
          <w:p w14:paraId="7F82F5FC" w14:textId="77777777" w:rsidR="00B104D3" w:rsidRPr="00B104D3" w:rsidRDefault="00B104D3" w:rsidP="00B104D3">
            <w:pPr>
              <w:spacing w:after="0"/>
              <w:jc w:val="center"/>
              <w:textAlignment w:val="baseline"/>
            </w:pPr>
            <w:r w:rsidRPr="00B104D3">
              <w:rPr>
                <w:sz w:val="20"/>
                <w:szCs w:val="20"/>
              </w:rPr>
              <w:t>4.02% </w:t>
            </w:r>
          </w:p>
        </w:tc>
      </w:tr>
      <w:tr w:rsidR="00B104D3" w:rsidRPr="00B104D3" w14:paraId="498358BE" w14:textId="77777777" w:rsidTr="00B104D3">
        <w:trPr>
          <w:trHeight w:val="450"/>
        </w:trPr>
        <w:tc>
          <w:tcPr>
            <w:tcW w:w="3255" w:type="dxa"/>
            <w:tcBorders>
              <w:top w:val="nil"/>
              <w:left w:val="single" w:sz="6" w:space="0" w:color="auto"/>
              <w:bottom w:val="single" w:sz="6" w:space="0" w:color="auto"/>
              <w:right w:val="single" w:sz="6" w:space="0" w:color="auto"/>
            </w:tcBorders>
            <w:shd w:val="clear" w:color="auto" w:fill="auto"/>
            <w:vAlign w:val="center"/>
            <w:hideMark/>
          </w:tcPr>
          <w:p w14:paraId="1A6E4BE3" w14:textId="77777777" w:rsidR="00B104D3" w:rsidRPr="00B104D3" w:rsidRDefault="00B104D3" w:rsidP="00B104D3">
            <w:pPr>
              <w:spacing w:after="0"/>
              <w:textAlignment w:val="baseline"/>
            </w:pPr>
            <w:r w:rsidRPr="00B104D3">
              <w:rPr>
                <w:sz w:val="20"/>
                <w:szCs w:val="20"/>
              </w:rPr>
              <w:t>2019 to 2020 </w:t>
            </w:r>
          </w:p>
        </w:tc>
        <w:tc>
          <w:tcPr>
            <w:tcW w:w="1170" w:type="dxa"/>
            <w:tcBorders>
              <w:top w:val="nil"/>
              <w:left w:val="nil"/>
              <w:bottom w:val="single" w:sz="6" w:space="0" w:color="auto"/>
              <w:right w:val="single" w:sz="6" w:space="0" w:color="auto"/>
            </w:tcBorders>
            <w:shd w:val="clear" w:color="auto" w:fill="auto"/>
            <w:vAlign w:val="center"/>
            <w:hideMark/>
          </w:tcPr>
          <w:p w14:paraId="1461F512" w14:textId="77777777" w:rsidR="00B104D3" w:rsidRPr="00B104D3" w:rsidRDefault="00B104D3" w:rsidP="00B104D3">
            <w:pPr>
              <w:spacing w:after="0"/>
              <w:jc w:val="center"/>
              <w:textAlignment w:val="baseline"/>
            </w:pPr>
            <w:r w:rsidRPr="00B104D3">
              <w:rPr>
                <w:sz w:val="20"/>
                <w:szCs w:val="20"/>
                <w:u w:val="single"/>
              </w:rPr>
              <w:t>$940.81</w:t>
            </w:r>
            <w:r w:rsidRPr="00B104D3">
              <w:rPr>
                <w:sz w:val="20"/>
                <w:szCs w:val="20"/>
              </w:rPr>
              <w:t> </w:t>
            </w:r>
          </w:p>
          <w:p w14:paraId="0D037076" w14:textId="77777777" w:rsidR="00B104D3" w:rsidRPr="00B104D3" w:rsidRDefault="00B104D3" w:rsidP="00B104D3">
            <w:pPr>
              <w:spacing w:after="0"/>
              <w:jc w:val="center"/>
              <w:textAlignment w:val="baseline"/>
            </w:pPr>
            <w:r w:rsidRPr="00B104D3">
              <w:rPr>
                <w:sz w:val="20"/>
                <w:szCs w:val="20"/>
              </w:rPr>
              <w:t>$903.21 </w:t>
            </w:r>
          </w:p>
        </w:tc>
        <w:tc>
          <w:tcPr>
            <w:tcW w:w="1080" w:type="dxa"/>
            <w:tcBorders>
              <w:top w:val="nil"/>
              <w:left w:val="nil"/>
              <w:bottom w:val="single" w:sz="6" w:space="0" w:color="auto"/>
              <w:right w:val="single" w:sz="6" w:space="0" w:color="auto"/>
            </w:tcBorders>
            <w:shd w:val="clear" w:color="auto" w:fill="auto"/>
            <w:vAlign w:val="center"/>
            <w:hideMark/>
          </w:tcPr>
          <w:p w14:paraId="57FE05D4" w14:textId="77777777" w:rsidR="00B104D3" w:rsidRPr="00B104D3" w:rsidRDefault="00B104D3" w:rsidP="00B104D3">
            <w:pPr>
              <w:spacing w:after="0"/>
              <w:jc w:val="center"/>
              <w:textAlignment w:val="baseline"/>
            </w:pPr>
            <w:r w:rsidRPr="00B104D3">
              <w:rPr>
                <w:sz w:val="20"/>
                <w:szCs w:val="20"/>
              </w:rPr>
              <w:t>4.16% </w:t>
            </w:r>
          </w:p>
        </w:tc>
        <w:tc>
          <w:tcPr>
            <w:tcW w:w="1170" w:type="dxa"/>
            <w:tcBorders>
              <w:top w:val="nil"/>
              <w:left w:val="nil"/>
              <w:bottom w:val="single" w:sz="6" w:space="0" w:color="auto"/>
              <w:right w:val="single" w:sz="6" w:space="0" w:color="auto"/>
            </w:tcBorders>
            <w:shd w:val="clear" w:color="auto" w:fill="auto"/>
            <w:vAlign w:val="center"/>
            <w:hideMark/>
          </w:tcPr>
          <w:p w14:paraId="4732813D" w14:textId="77777777" w:rsidR="00B104D3" w:rsidRPr="00B104D3" w:rsidRDefault="00B104D3" w:rsidP="00B104D3">
            <w:pPr>
              <w:spacing w:after="0"/>
              <w:jc w:val="center"/>
              <w:textAlignment w:val="baseline"/>
            </w:pPr>
            <w:r w:rsidRPr="00B104D3">
              <w:rPr>
                <w:sz w:val="20"/>
                <w:szCs w:val="20"/>
                <w:u w:val="single"/>
              </w:rPr>
              <w:t>$7,795.38</w:t>
            </w:r>
            <w:r w:rsidRPr="00B104D3">
              <w:rPr>
                <w:sz w:val="20"/>
                <w:szCs w:val="20"/>
              </w:rPr>
              <w:t> </w:t>
            </w:r>
          </w:p>
          <w:p w14:paraId="7794D839" w14:textId="77777777" w:rsidR="00B104D3" w:rsidRPr="00B104D3" w:rsidRDefault="00B104D3" w:rsidP="00B104D3">
            <w:pPr>
              <w:spacing w:after="0"/>
              <w:jc w:val="center"/>
              <w:textAlignment w:val="baseline"/>
            </w:pPr>
            <w:r w:rsidRPr="00B104D3">
              <w:rPr>
                <w:sz w:val="20"/>
                <w:szCs w:val="20"/>
              </w:rPr>
              <w:t>$7,563.53 </w:t>
            </w:r>
          </w:p>
        </w:tc>
        <w:tc>
          <w:tcPr>
            <w:tcW w:w="1110" w:type="dxa"/>
            <w:tcBorders>
              <w:top w:val="nil"/>
              <w:left w:val="nil"/>
              <w:bottom w:val="single" w:sz="6" w:space="0" w:color="auto"/>
              <w:right w:val="single" w:sz="6" w:space="0" w:color="auto"/>
            </w:tcBorders>
            <w:shd w:val="clear" w:color="auto" w:fill="auto"/>
            <w:vAlign w:val="center"/>
            <w:hideMark/>
          </w:tcPr>
          <w:p w14:paraId="24380575" w14:textId="77777777" w:rsidR="00B104D3" w:rsidRPr="00B104D3" w:rsidRDefault="00B104D3" w:rsidP="00B104D3">
            <w:pPr>
              <w:spacing w:after="0"/>
              <w:jc w:val="center"/>
              <w:textAlignment w:val="baseline"/>
            </w:pPr>
            <w:r w:rsidRPr="00B104D3">
              <w:rPr>
                <w:sz w:val="20"/>
                <w:szCs w:val="20"/>
              </w:rPr>
              <w:t>3.07% </w:t>
            </w:r>
          </w:p>
        </w:tc>
        <w:tc>
          <w:tcPr>
            <w:tcW w:w="1110" w:type="dxa"/>
            <w:tcBorders>
              <w:top w:val="nil"/>
              <w:left w:val="nil"/>
              <w:bottom w:val="single" w:sz="6" w:space="0" w:color="auto"/>
              <w:right w:val="single" w:sz="6" w:space="0" w:color="auto"/>
            </w:tcBorders>
            <w:shd w:val="clear" w:color="auto" w:fill="auto"/>
            <w:vAlign w:val="center"/>
            <w:hideMark/>
          </w:tcPr>
          <w:p w14:paraId="143631FF" w14:textId="77777777" w:rsidR="00B104D3" w:rsidRPr="00B104D3" w:rsidRDefault="00B104D3" w:rsidP="00B104D3">
            <w:pPr>
              <w:spacing w:after="0"/>
              <w:jc w:val="center"/>
              <w:textAlignment w:val="baseline"/>
            </w:pPr>
            <w:r w:rsidRPr="00B104D3">
              <w:rPr>
                <w:sz w:val="20"/>
                <w:szCs w:val="20"/>
                <w:u w:val="single"/>
              </w:rPr>
              <w:t>$965.49</w:t>
            </w:r>
            <w:r w:rsidRPr="00B104D3">
              <w:rPr>
                <w:sz w:val="20"/>
                <w:szCs w:val="20"/>
              </w:rPr>
              <w:t> </w:t>
            </w:r>
          </w:p>
          <w:p w14:paraId="7E28CAF7" w14:textId="77777777" w:rsidR="00B104D3" w:rsidRPr="00B104D3" w:rsidRDefault="00B104D3" w:rsidP="00B104D3">
            <w:pPr>
              <w:spacing w:after="0"/>
              <w:jc w:val="center"/>
              <w:textAlignment w:val="baseline"/>
            </w:pPr>
            <w:r w:rsidRPr="00B104D3">
              <w:rPr>
                <w:sz w:val="20"/>
                <w:szCs w:val="20"/>
              </w:rPr>
              <w:t>$927.19 </w:t>
            </w:r>
          </w:p>
        </w:tc>
        <w:tc>
          <w:tcPr>
            <w:tcW w:w="1170" w:type="dxa"/>
            <w:tcBorders>
              <w:top w:val="nil"/>
              <w:left w:val="nil"/>
              <w:bottom w:val="single" w:sz="6" w:space="0" w:color="auto"/>
              <w:right w:val="single" w:sz="6" w:space="0" w:color="auto"/>
            </w:tcBorders>
            <w:shd w:val="clear" w:color="auto" w:fill="auto"/>
            <w:vAlign w:val="center"/>
            <w:hideMark/>
          </w:tcPr>
          <w:p w14:paraId="7DFF62EF" w14:textId="77777777" w:rsidR="00B104D3" w:rsidRPr="00B104D3" w:rsidRDefault="00B104D3" w:rsidP="00B104D3">
            <w:pPr>
              <w:spacing w:after="0"/>
              <w:jc w:val="center"/>
              <w:textAlignment w:val="baseline"/>
            </w:pPr>
            <w:r w:rsidRPr="00B104D3">
              <w:rPr>
                <w:sz w:val="20"/>
                <w:szCs w:val="20"/>
              </w:rPr>
              <w:t>4.13% </w:t>
            </w:r>
          </w:p>
        </w:tc>
      </w:tr>
      <w:tr w:rsidR="00B104D3" w:rsidRPr="00B104D3" w14:paraId="544DBC3F" w14:textId="77777777" w:rsidTr="00B104D3">
        <w:trPr>
          <w:trHeight w:val="495"/>
        </w:trPr>
        <w:tc>
          <w:tcPr>
            <w:tcW w:w="3255" w:type="dxa"/>
            <w:tcBorders>
              <w:top w:val="nil"/>
              <w:left w:val="single" w:sz="6" w:space="0" w:color="auto"/>
              <w:bottom w:val="single" w:sz="6" w:space="0" w:color="auto"/>
              <w:right w:val="single" w:sz="6" w:space="0" w:color="auto"/>
            </w:tcBorders>
            <w:shd w:val="clear" w:color="auto" w:fill="auto"/>
            <w:vAlign w:val="center"/>
            <w:hideMark/>
          </w:tcPr>
          <w:p w14:paraId="4EF05CD8" w14:textId="77777777" w:rsidR="00B104D3" w:rsidRPr="00B104D3" w:rsidRDefault="00B104D3" w:rsidP="00B104D3">
            <w:pPr>
              <w:spacing w:after="0"/>
              <w:textAlignment w:val="baseline"/>
            </w:pPr>
            <w:r w:rsidRPr="00B104D3">
              <w:rPr>
                <w:sz w:val="20"/>
                <w:szCs w:val="20"/>
              </w:rPr>
              <w:t>2020 to 2021 </w:t>
            </w:r>
          </w:p>
        </w:tc>
        <w:tc>
          <w:tcPr>
            <w:tcW w:w="1170" w:type="dxa"/>
            <w:tcBorders>
              <w:top w:val="nil"/>
              <w:left w:val="nil"/>
              <w:bottom w:val="single" w:sz="6" w:space="0" w:color="auto"/>
              <w:right w:val="single" w:sz="6" w:space="0" w:color="auto"/>
            </w:tcBorders>
            <w:shd w:val="clear" w:color="auto" w:fill="auto"/>
            <w:vAlign w:val="center"/>
            <w:hideMark/>
          </w:tcPr>
          <w:p w14:paraId="7626B2EA" w14:textId="77777777" w:rsidR="00B104D3" w:rsidRPr="00B104D3" w:rsidRDefault="00B104D3" w:rsidP="00B104D3">
            <w:pPr>
              <w:spacing w:after="0"/>
              <w:jc w:val="center"/>
              <w:textAlignment w:val="baseline"/>
            </w:pPr>
            <w:r w:rsidRPr="00B104D3">
              <w:rPr>
                <w:sz w:val="20"/>
                <w:szCs w:val="20"/>
                <w:u w:val="single"/>
              </w:rPr>
              <w:t>$975.06</w:t>
            </w:r>
            <w:r w:rsidRPr="00B104D3">
              <w:rPr>
                <w:sz w:val="20"/>
                <w:szCs w:val="20"/>
              </w:rPr>
              <w:t> </w:t>
            </w:r>
          </w:p>
          <w:p w14:paraId="45AAC327" w14:textId="77777777" w:rsidR="00B104D3" w:rsidRPr="00B104D3" w:rsidRDefault="00B104D3" w:rsidP="00B104D3">
            <w:pPr>
              <w:spacing w:after="0"/>
              <w:jc w:val="center"/>
              <w:textAlignment w:val="baseline"/>
            </w:pPr>
            <w:r w:rsidRPr="00B104D3">
              <w:rPr>
                <w:sz w:val="20"/>
                <w:szCs w:val="20"/>
              </w:rPr>
              <w:t>$932.34 </w:t>
            </w:r>
          </w:p>
        </w:tc>
        <w:tc>
          <w:tcPr>
            <w:tcW w:w="1080" w:type="dxa"/>
            <w:tcBorders>
              <w:top w:val="nil"/>
              <w:left w:val="nil"/>
              <w:bottom w:val="single" w:sz="6" w:space="0" w:color="auto"/>
              <w:right w:val="single" w:sz="6" w:space="0" w:color="auto"/>
            </w:tcBorders>
            <w:shd w:val="clear" w:color="auto" w:fill="auto"/>
            <w:vAlign w:val="center"/>
            <w:hideMark/>
          </w:tcPr>
          <w:p w14:paraId="430D8AA8" w14:textId="689FBBED" w:rsidR="00B104D3" w:rsidRPr="00B104D3" w:rsidRDefault="00B104D3" w:rsidP="00B104D3">
            <w:pPr>
              <w:spacing w:after="0"/>
              <w:jc w:val="center"/>
              <w:textAlignment w:val="baseline"/>
            </w:pPr>
            <w:r w:rsidRPr="00B104D3">
              <w:rPr>
                <w:sz w:val="20"/>
                <w:szCs w:val="20"/>
              </w:rPr>
              <w:t>4.58</w:t>
            </w:r>
            <w:r w:rsidRPr="00B104D3">
              <w:rPr>
                <w:rFonts w:ascii="Calibri" w:hAnsi="Calibri" w:cs="Calibri"/>
                <w:sz w:val="20"/>
                <w:szCs w:val="20"/>
              </w:rPr>
              <w:t>% </w:t>
            </w:r>
          </w:p>
        </w:tc>
        <w:tc>
          <w:tcPr>
            <w:tcW w:w="1170" w:type="dxa"/>
            <w:tcBorders>
              <w:top w:val="nil"/>
              <w:left w:val="nil"/>
              <w:bottom w:val="single" w:sz="6" w:space="0" w:color="auto"/>
              <w:right w:val="single" w:sz="6" w:space="0" w:color="auto"/>
            </w:tcBorders>
            <w:shd w:val="clear" w:color="auto" w:fill="auto"/>
            <w:vAlign w:val="center"/>
            <w:hideMark/>
          </w:tcPr>
          <w:p w14:paraId="798D208D" w14:textId="77777777" w:rsidR="00B104D3" w:rsidRPr="00B104D3" w:rsidRDefault="00B104D3" w:rsidP="00B104D3">
            <w:pPr>
              <w:spacing w:after="0"/>
              <w:jc w:val="center"/>
              <w:textAlignment w:val="baseline"/>
            </w:pPr>
            <w:r w:rsidRPr="00B104D3">
              <w:rPr>
                <w:sz w:val="20"/>
                <w:szCs w:val="20"/>
                <w:u w:val="single"/>
              </w:rPr>
              <w:t>$8,110.21</w:t>
            </w:r>
            <w:r w:rsidRPr="00B104D3">
              <w:rPr>
                <w:sz w:val="20"/>
                <w:szCs w:val="20"/>
              </w:rPr>
              <w:t> </w:t>
            </w:r>
          </w:p>
          <w:p w14:paraId="3626B30A" w14:textId="77777777" w:rsidR="00B104D3" w:rsidRPr="00B104D3" w:rsidRDefault="00B104D3" w:rsidP="00B104D3">
            <w:pPr>
              <w:spacing w:after="0"/>
              <w:jc w:val="center"/>
              <w:textAlignment w:val="baseline"/>
            </w:pPr>
            <w:r w:rsidRPr="00B104D3">
              <w:rPr>
                <w:sz w:val="20"/>
                <w:szCs w:val="20"/>
              </w:rPr>
              <w:t>$7,910.87 </w:t>
            </w:r>
          </w:p>
        </w:tc>
        <w:tc>
          <w:tcPr>
            <w:tcW w:w="1110" w:type="dxa"/>
            <w:tcBorders>
              <w:top w:val="nil"/>
              <w:left w:val="nil"/>
              <w:bottom w:val="single" w:sz="6" w:space="0" w:color="auto"/>
              <w:right w:val="single" w:sz="6" w:space="0" w:color="auto"/>
            </w:tcBorders>
            <w:shd w:val="clear" w:color="auto" w:fill="auto"/>
            <w:vAlign w:val="center"/>
            <w:hideMark/>
          </w:tcPr>
          <w:p w14:paraId="05AF5D2E" w14:textId="77777777" w:rsidR="00B104D3" w:rsidRPr="00B104D3" w:rsidRDefault="00B104D3" w:rsidP="00B104D3">
            <w:pPr>
              <w:spacing w:after="0"/>
              <w:jc w:val="center"/>
              <w:textAlignment w:val="baseline"/>
            </w:pPr>
            <w:r w:rsidRPr="00B104D3">
              <w:rPr>
                <w:sz w:val="20"/>
                <w:szCs w:val="20"/>
              </w:rPr>
              <w:t>2.52</w:t>
            </w:r>
            <w:r w:rsidRPr="00B104D3">
              <w:rPr>
                <w:rFonts w:ascii="Calibri" w:hAnsi="Calibri" w:cs="Calibri"/>
                <w:sz w:val="20"/>
                <w:szCs w:val="20"/>
              </w:rPr>
              <w:t>% </w:t>
            </w:r>
          </w:p>
        </w:tc>
        <w:tc>
          <w:tcPr>
            <w:tcW w:w="1110" w:type="dxa"/>
            <w:tcBorders>
              <w:top w:val="nil"/>
              <w:left w:val="nil"/>
              <w:bottom w:val="single" w:sz="6" w:space="0" w:color="auto"/>
              <w:right w:val="single" w:sz="6" w:space="0" w:color="auto"/>
            </w:tcBorders>
            <w:shd w:val="clear" w:color="auto" w:fill="auto"/>
            <w:vAlign w:val="center"/>
            <w:hideMark/>
          </w:tcPr>
          <w:p w14:paraId="33965952" w14:textId="77777777" w:rsidR="00B104D3" w:rsidRPr="00B104D3" w:rsidRDefault="00B104D3" w:rsidP="00B104D3">
            <w:pPr>
              <w:spacing w:after="0"/>
              <w:jc w:val="center"/>
              <w:textAlignment w:val="baseline"/>
            </w:pPr>
            <w:r w:rsidRPr="00B104D3">
              <w:rPr>
                <w:sz w:val="20"/>
                <w:szCs w:val="20"/>
                <w:u w:val="single"/>
              </w:rPr>
              <w:t>$1,000.75</w:t>
            </w:r>
            <w:r w:rsidRPr="00B104D3">
              <w:rPr>
                <w:sz w:val="20"/>
                <w:szCs w:val="20"/>
              </w:rPr>
              <w:t> </w:t>
            </w:r>
          </w:p>
          <w:p w14:paraId="29ED6DB1" w14:textId="77777777" w:rsidR="00B104D3" w:rsidRPr="00B104D3" w:rsidRDefault="00B104D3" w:rsidP="00B104D3">
            <w:pPr>
              <w:spacing w:after="0"/>
              <w:jc w:val="center"/>
              <w:textAlignment w:val="baseline"/>
            </w:pPr>
            <w:r w:rsidRPr="00B104D3">
              <w:rPr>
                <w:sz w:val="20"/>
                <w:szCs w:val="20"/>
              </w:rPr>
              <w:t>$957.46 </w:t>
            </w:r>
          </w:p>
        </w:tc>
        <w:tc>
          <w:tcPr>
            <w:tcW w:w="1170" w:type="dxa"/>
            <w:tcBorders>
              <w:top w:val="nil"/>
              <w:left w:val="nil"/>
              <w:bottom w:val="single" w:sz="6" w:space="0" w:color="auto"/>
              <w:right w:val="single" w:sz="6" w:space="0" w:color="auto"/>
            </w:tcBorders>
            <w:shd w:val="clear" w:color="auto" w:fill="auto"/>
            <w:vAlign w:val="center"/>
            <w:hideMark/>
          </w:tcPr>
          <w:p w14:paraId="1495DD0B" w14:textId="77777777" w:rsidR="00B104D3" w:rsidRPr="00B104D3" w:rsidRDefault="00B104D3" w:rsidP="00B104D3">
            <w:pPr>
              <w:spacing w:after="0"/>
              <w:jc w:val="center"/>
              <w:textAlignment w:val="baseline"/>
            </w:pPr>
            <w:r w:rsidRPr="00B104D3">
              <w:rPr>
                <w:sz w:val="20"/>
                <w:szCs w:val="20"/>
              </w:rPr>
              <w:t>4.52</w:t>
            </w:r>
            <w:r w:rsidRPr="00B104D3">
              <w:rPr>
                <w:rFonts w:ascii="Calibri" w:hAnsi="Calibri" w:cs="Calibri"/>
                <w:sz w:val="20"/>
                <w:szCs w:val="20"/>
              </w:rPr>
              <w:t>% </w:t>
            </w:r>
          </w:p>
        </w:tc>
      </w:tr>
      <w:tr w:rsidR="00B104D3" w:rsidRPr="00B104D3" w14:paraId="3066A8C2" w14:textId="77777777" w:rsidTr="00B104D3">
        <w:trPr>
          <w:trHeight w:val="450"/>
        </w:trPr>
        <w:tc>
          <w:tcPr>
            <w:tcW w:w="3255" w:type="dxa"/>
            <w:tcBorders>
              <w:top w:val="nil"/>
              <w:left w:val="single" w:sz="6" w:space="0" w:color="auto"/>
              <w:bottom w:val="single" w:sz="6" w:space="0" w:color="auto"/>
              <w:right w:val="single" w:sz="6" w:space="0" w:color="auto"/>
            </w:tcBorders>
            <w:shd w:val="clear" w:color="auto" w:fill="auto"/>
            <w:vAlign w:val="center"/>
            <w:hideMark/>
          </w:tcPr>
          <w:p w14:paraId="453BA124" w14:textId="77777777" w:rsidR="00B104D3" w:rsidRPr="00B104D3" w:rsidRDefault="00B104D3" w:rsidP="00B104D3">
            <w:pPr>
              <w:spacing w:after="0"/>
              <w:textAlignment w:val="baseline"/>
            </w:pPr>
            <w:r w:rsidRPr="00B104D3">
              <w:rPr>
                <w:sz w:val="20"/>
                <w:szCs w:val="20"/>
              </w:rPr>
              <w:t>Compounding Projection to Date </w:t>
            </w:r>
          </w:p>
        </w:tc>
        <w:tc>
          <w:tcPr>
            <w:tcW w:w="1170" w:type="dxa"/>
            <w:tcBorders>
              <w:top w:val="nil"/>
              <w:left w:val="nil"/>
              <w:bottom w:val="single" w:sz="6" w:space="0" w:color="auto"/>
              <w:right w:val="single" w:sz="6" w:space="0" w:color="auto"/>
            </w:tcBorders>
            <w:shd w:val="clear" w:color="auto" w:fill="auto"/>
            <w:vAlign w:val="center"/>
            <w:hideMark/>
          </w:tcPr>
          <w:p w14:paraId="1BA1BD45" w14:textId="77777777" w:rsidR="00B104D3" w:rsidRPr="00B104D3" w:rsidRDefault="00B104D3" w:rsidP="00B104D3">
            <w:pPr>
              <w:spacing w:after="0"/>
              <w:jc w:val="center"/>
              <w:textAlignment w:val="baseline"/>
            </w:pPr>
            <w:r w:rsidRPr="00B104D3">
              <w:rPr>
                <w:rFonts w:ascii="Calibri" w:hAnsi="Calibri" w:cs="Calibri"/>
                <w:sz w:val="20"/>
                <w:szCs w:val="20"/>
              </w:rPr>
              <w:t> </w:t>
            </w:r>
          </w:p>
        </w:tc>
        <w:tc>
          <w:tcPr>
            <w:tcW w:w="1080" w:type="dxa"/>
            <w:tcBorders>
              <w:top w:val="nil"/>
              <w:left w:val="nil"/>
              <w:bottom w:val="single" w:sz="6" w:space="0" w:color="auto"/>
              <w:right w:val="single" w:sz="6" w:space="0" w:color="auto"/>
            </w:tcBorders>
            <w:shd w:val="clear" w:color="auto" w:fill="auto"/>
            <w:vAlign w:val="center"/>
            <w:hideMark/>
          </w:tcPr>
          <w:p w14:paraId="26E6B5B8" w14:textId="05079579" w:rsidR="00B104D3" w:rsidRPr="00B104D3" w:rsidRDefault="00B104D3" w:rsidP="00B104D3">
            <w:pPr>
              <w:spacing w:after="0"/>
              <w:jc w:val="center"/>
              <w:textAlignment w:val="baseline"/>
            </w:pPr>
            <w:r w:rsidRPr="00B104D3">
              <w:rPr>
                <w:sz w:val="20"/>
                <w:szCs w:val="20"/>
              </w:rPr>
              <w:t>4.12</w:t>
            </w:r>
            <w:r w:rsidRPr="00B104D3">
              <w:rPr>
                <w:rFonts w:ascii="Calibri" w:hAnsi="Calibri" w:cs="Calibri"/>
                <w:sz w:val="20"/>
                <w:szCs w:val="20"/>
              </w:rPr>
              <w:t>% </w:t>
            </w:r>
          </w:p>
        </w:tc>
        <w:tc>
          <w:tcPr>
            <w:tcW w:w="1170" w:type="dxa"/>
            <w:tcBorders>
              <w:top w:val="nil"/>
              <w:left w:val="nil"/>
              <w:bottom w:val="single" w:sz="6" w:space="0" w:color="auto"/>
              <w:right w:val="single" w:sz="6" w:space="0" w:color="auto"/>
            </w:tcBorders>
            <w:shd w:val="clear" w:color="auto" w:fill="auto"/>
            <w:vAlign w:val="center"/>
            <w:hideMark/>
          </w:tcPr>
          <w:p w14:paraId="7BD6096A" w14:textId="77777777" w:rsidR="00B104D3" w:rsidRPr="00B104D3" w:rsidRDefault="00B104D3" w:rsidP="00B104D3">
            <w:pPr>
              <w:spacing w:after="0"/>
              <w:jc w:val="center"/>
              <w:textAlignment w:val="baseline"/>
            </w:pPr>
            <w:r w:rsidRPr="00B104D3">
              <w:rPr>
                <w:rFonts w:ascii="Calibri" w:hAnsi="Calibri" w:cs="Calibri"/>
                <w:sz w:val="20"/>
                <w:szCs w:val="20"/>
              </w:rPr>
              <w:t> </w:t>
            </w:r>
          </w:p>
        </w:tc>
        <w:tc>
          <w:tcPr>
            <w:tcW w:w="1110" w:type="dxa"/>
            <w:tcBorders>
              <w:top w:val="nil"/>
              <w:left w:val="nil"/>
              <w:bottom w:val="single" w:sz="6" w:space="0" w:color="auto"/>
              <w:right w:val="single" w:sz="6" w:space="0" w:color="auto"/>
            </w:tcBorders>
            <w:shd w:val="clear" w:color="auto" w:fill="auto"/>
            <w:vAlign w:val="center"/>
            <w:hideMark/>
          </w:tcPr>
          <w:p w14:paraId="5D3422D7" w14:textId="545BD582" w:rsidR="00B104D3" w:rsidRPr="00B104D3" w:rsidRDefault="00B104D3" w:rsidP="00B104D3">
            <w:pPr>
              <w:spacing w:after="0"/>
              <w:jc w:val="center"/>
              <w:textAlignment w:val="baseline"/>
            </w:pPr>
            <w:r w:rsidRPr="00B104D3">
              <w:rPr>
                <w:sz w:val="20"/>
                <w:szCs w:val="20"/>
              </w:rPr>
              <w:t>3.13</w:t>
            </w:r>
            <w:r w:rsidRPr="00B104D3">
              <w:rPr>
                <w:rFonts w:ascii="Calibri" w:hAnsi="Calibri" w:cs="Calibri"/>
                <w:sz w:val="20"/>
                <w:szCs w:val="20"/>
              </w:rPr>
              <w:t>% </w:t>
            </w:r>
          </w:p>
        </w:tc>
        <w:tc>
          <w:tcPr>
            <w:tcW w:w="1110" w:type="dxa"/>
            <w:tcBorders>
              <w:top w:val="nil"/>
              <w:left w:val="nil"/>
              <w:bottom w:val="single" w:sz="6" w:space="0" w:color="auto"/>
              <w:right w:val="single" w:sz="6" w:space="0" w:color="auto"/>
            </w:tcBorders>
            <w:shd w:val="clear" w:color="auto" w:fill="auto"/>
            <w:vAlign w:val="center"/>
            <w:hideMark/>
          </w:tcPr>
          <w:p w14:paraId="34296B59" w14:textId="77777777" w:rsidR="00B104D3" w:rsidRPr="00B104D3" w:rsidRDefault="00B104D3" w:rsidP="00B104D3">
            <w:pPr>
              <w:spacing w:after="0"/>
              <w:jc w:val="center"/>
              <w:textAlignment w:val="baseline"/>
            </w:pPr>
            <w:r w:rsidRPr="00B104D3">
              <w:rPr>
                <w:rFonts w:ascii="Calibri" w:hAnsi="Calibri" w:cs="Calibri"/>
                <w:sz w:val="20"/>
                <w:szCs w:val="20"/>
              </w:rPr>
              <w:t> </w:t>
            </w:r>
          </w:p>
        </w:tc>
        <w:tc>
          <w:tcPr>
            <w:tcW w:w="1170" w:type="dxa"/>
            <w:tcBorders>
              <w:top w:val="nil"/>
              <w:left w:val="nil"/>
              <w:bottom w:val="single" w:sz="6" w:space="0" w:color="auto"/>
              <w:right w:val="single" w:sz="6" w:space="0" w:color="auto"/>
            </w:tcBorders>
            <w:shd w:val="clear" w:color="auto" w:fill="auto"/>
            <w:vAlign w:val="center"/>
            <w:hideMark/>
          </w:tcPr>
          <w:p w14:paraId="3407F59F" w14:textId="0F0A8488" w:rsidR="00B104D3" w:rsidRPr="00B104D3" w:rsidRDefault="00B104D3" w:rsidP="00B104D3">
            <w:pPr>
              <w:spacing w:after="0"/>
              <w:jc w:val="center"/>
              <w:textAlignment w:val="baseline"/>
            </w:pPr>
            <w:r w:rsidRPr="00B104D3">
              <w:rPr>
                <w:sz w:val="20"/>
                <w:szCs w:val="20"/>
              </w:rPr>
              <w:t>4.09</w:t>
            </w:r>
            <w:r w:rsidRPr="00B104D3">
              <w:rPr>
                <w:rFonts w:ascii="Calibri" w:hAnsi="Calibri" w:cs="Calibri"/>
                <w:sz w:val="20"/>
                <w:szCs w:val="20"/>
              </w:rPr>
              <w:t>% </w:t>
            </w:r>
          </w:p>
        </w:tc>
      </w:tr>
      <w:tr w:rsidR="00B104D3" w:rsidRPr="00B104D3" w14:paraId="25D92BD8" w14:textId="77777777" w:rsidTr="00B104D3">
        <w:trPr>
          <w:trHeight w:val="450"/>
        </w:trPr>
        <w:tc>
          <w:tcPr>
            <w:tcW w:w="3255" w:type="dxa"/>
            <w:tcBorders>
              <w:top w:val="nil"/>
              <w:left w:val="single" w:sz="6" w:space="0" w:color="auto"/>
              <w:bottom w:val="single" w:sz="12" w:space="0" w:color="auto"/>
              <w:right w:val="single" w:sz="6" w:space="0" w:color="auto"/>
            </w:tcBorders>
            <w:shd w:val="clear" w:color="auto" w:fill="auto"/>
            <w:vAlign w:val="center"/>
            <w:hideMark/>
          </w:tcPr>
          <w:p w14:paraId="6D64E5B4" w14:textId="77777777" w:rsidR="00B104D3" w:rsidRPr="00B104D3" w:rsidRDefault="00B104D3" w:rsidP="00B104D3">
            <w:pPr>
              <w:spacing w:after="0"/>
              <w:textAlignment w:val="baseline"/>
            </w:pPr>
            <w:r w:rsidRPr="00B104D3">
              <w:rPr>
                <w:b/>
                <w:bCs/>
                <w:sz w:val="20"/>
                <w:szCs w:val="20"/>
              </w:rPr>
              <w:t>Compounding Target to Date</w:t>
            </w:r>
            <w:r w:rsidRPr="00B104D3">
              <w:rPr>
                <w:sz w:val="20"/>
                <w:szCs w:val="20"/>
              </w:rPr>
              <w:t> </w:t>
            </w:r>
          </w:p>
        </w:tc>
        <w:tc>
          <w:tcPr>
            <w:tcW w:w="1170" w:type="dxa"/>
            <w:tcBorders>
              <w:top w:val="nil"/>
              <w:left w:val="nil"/>
              <w:bottom w:val="single" w:sz="12" w:space="0" w:color="auto"/>
              <w:right w:val="single" w:sz="6" w:space="0" w:color="auto"/>
            </w:tcBorders>
            <w:shd w:val="clear" w:color="auto" w:fill="auto"/>
            <w:vAlign w:val="center"/>
            <w:hideMark/>
          </w:tcPr>
          <w:p w14:paraId="52CD1251" w14:textId="77777777" w:rsidR="00B104D3" w:rsidRPr="00B104D3" w:rsidRDefault="00B104D3" w:rsidP="00B104D3">
            <w:pPr>
              <w:spacing w:after="0"/>
              <w:jc w:val="center"/>
              <w:textAlignment w:val="baseline"/>
            </w:pPr>
            <w:r w:rsidRPr="00B104D3">
              <w:rPr>
                <w:rFonts w:ascii="Calibri" w:hAnsi="Calibri" w:cs="Calibri"/>
                <w:sz w:val="20"/>
                <w:szCs w:val="20"/>
              </w:rPr>
              <w:t> </w:t>
            </w:r>
          </w:p>
        </w:tc>
        <w:tc>
          <w:tcPr>
            <w:tcW w:w="1080" w:type="dxa"/>
            <w:tcBorders>
              <w:top w:val="nil"/>
              <w:left w:val="nil"/>
              <w:bottom w:val="single" w:sz="12" w:space="0" w:color="auto"/>
              <w:right w:val="single" w:sz="6" w:space="0" w:color="auto"/>
            </w:tcBorders>
            <w:shd w:val="clear" w:color="auto" w:fill="auto"/>
            <w:vAlign w:val="center"/>
            <w:hideMark/>
          </w:tcPr>
          <w:p w14:paraId="204484DF" w14:textId="3E6E22CF" w:rsidR="00B104D3" w:rsidRPr="00B104D3" w:rsidRDefault="00B104D3" w:rsidP="00B104D3">
            <w:pPr>
              <w:spacing w:after="0"/>
              <w:jc w:val="center"/>
              <w:textAlignment w:val="baseline"/>
            </w:pPr>
            <w:r w:rsidRPr="00B104D3">
              <w:rPr>
                <w:b/>
                <w:bCs/>
                <w:sz w:val="20"/>
                <w:szCs w:val="20"/>
              </w:rPr>
              <w:t>3.92</w:t>
            </w:r>
            <w:r w:rsidRPr="00B104D3">
              <w:rPr>
                <w:rFonts w:ascii="Calibri" w:hAnsi="Calibri" w:cs="Calibri"/>
                <w:b/>
                <w:bCs/>
                <w:sz w:val="20"/>
                <w:szCs w:val="20"/>
              </w:rPr>
              <w:t>%</w:t>
            </w:r>
            <w:r w:rsidRPr="00B104D3">
              <w:rPr>
                <w:rFonts w:ascii="Calibri" w:hAnsi="Calibri" w:cs="Calibri"/>
                <w:sz w:val="20"/>
                <w:szCs w:val="20"/>
              </w:rPr>
              <w:t> </w:t>
            </w:r>
          </w:p>
        </w:tc>
        <w:tc>
          <w:tcPr>
            <w:tcW w:w="1170" w:type="dxa"/>
            <w:tcBorders>
              <w:top w:val="nil"/>
              <w:left w:val="nil"/>
              <w:bottom w:val="single" w:sz="12" w:space="0" w:color="auto"/>
              <w:right w:val="single" w:sz="6" w:space="0" w:color="auto"/>
            </w:tcBorders>
            <w:shd w:val="clear" w:color="auto" w:fill="auto"/>
            <w:vAlign w:val="center"/>
            <w:hideMark/>
          </w:tcPr>
          <w:p w14:paraId="7FAA1183" w14:textId="77777777" w:rsidR="00B104D3" w:rsidRPr="00B104D3" w:rsidRDefault="00B104D3" w:rsidP="00B104D3">
            <w:pPr>
              <w:spacing w:after="0"/>
              <w:jc w:val="center"/>
              <w:textAlignment w:val="baseline"/>
            </w:pPr>
            <w:r w:rsidRPr="00B104D3">
              <w:rPr>
                <w:rFonts w:ascii="Calibri" w:hAnsi="Calibri" w:cs="Calibri"/>
                <w:sz w:val="20"/>
                <w:szCs w:val="20"/>
              </w:rPr>
              <w:t> </w:t>
            </w:r>
          </w:p>
        </w:tc>
        <w:tc>
          <w:tcPr>
            <w:tcW w:w="1110" w:type="dxa"/>
            <w:tcBorders>
              <w:top w:val="nil"/>
              <w:left w:val="nil"/>
              <w:bottom w:val="single" w:sz="12" w:space="0" w:color="auto"/>
              <w:right w:val="single" w:sz="6" w:space="0" w:color="auto"/>
            </w:tcBorders>
            <w:shd w:val="clear" w:color="auto" w:fill="auto"/>
            <w:vAlign w:val="center"/>
            <w:hideMark/>
          </w:tcPr>
          <w:p w14:paraId="3A6EB8C4" w14:textId="29F6A3EE" w:rsidR="00B104D3" w:rsidRPr="00B104D3" w:rsidRDefault="00B104D3" w:rsidP="00B104D3">
            <w:pPr>
              <w:spacing w:after="0"/>
              <w:jc w:val="center"/>
              <w:textAlignment w:val="baseline"/>
            </w:pPr>
            <w:r w:rsidRPr="00B104D3">
              <w:rPr>
                <w:b/>
                <w:bCs/>
                <w:sz w:val="20"/>
                <w:szCs w:val="20"/>
              </w:rPr>
              <w:t>2.93</w:t>
            </w:r>
            <w:r w:rsidRPr="00B104D3">
              <w:rPr>
                <w:rFonts w:ascii="Calibri" w:hAnsi="Calibri" w:cs="Calibri"/>
                <w:b/>
                <w:bCs/>
                <w:sz w:val="20"/>
                <w:szCs w:val="20"/>
              </w:rPr>
              <w:t>%</w:t>
            </w:r>
            <w:r w:rsidRPr="00B104D3">
              <w:rPr>
                <w:rFonts w:ascii="Calibri" w:hAnsi="Calibri" w:cs="Calibri"/>
                <w:sz w:val="20"/>
                <w:szCs w:val="20"/>
              </w:rPr>
              <w:t> </w:t>
            </w:r>
          </w:p>
        </w:tc>
        <w:tc>
          <w:tcPr>
            <w:tcW w:w="1110" w:type="dxa"/>
            <w:tcBorders>
              <w:top w:val="nil"/>
              <w:left w:val="nil"/>
              <w:bottom w:val="single" w:sz="12" w:space="0" w:color="auto"/>
              <w:right w:val="single" w:sz="6" w:space="0" w:color="auto"/>
            </w:tcBorders>
            <w:shd w:val="clear" w:color="auto" w:fill="auto"/>
            <w:vAlign w:val="center"/>
            <w:hideMark/>
          </w:tcPr>
          <w:p w14:paraId="44B2F984" w14:textId="77777777" w:rsidR="00B104D3" w:rsidRPr="00B104D3" w:rsidRDefault="00B104D3" w:rsidP="00B104D3">
            <w:pPr>
              <w:spacing w:after="0"/>
              <w:jc w:val="center"/>
              <w:textAlignment w:val="baseline"/>
            </w:pPr>
            <w:r w:rsidRPr="00B104D3">
              <w:rPr>
                <w:rFonts w:ascii="Calibri" w:hAnsi="Calibri" w:cs="Calibri"/>
                <w:sz w:val="20"/>
                <w:szCs w:val="20"/>
              </w:rPr>
              <w:t> </w:t>
            </w:r>
          </w:p>
        </w:tc>
        <w:tc>
          <w:tcPr>
            <w:tcW w:w="1170" w:type="dxa"/>
            <w:tcBorders>
              <w:top w:val="nil"/>
              <w:left w:val="nil"/>
              <w:bottom w:val="single" w:sz="6" w:space="0" w:color="auto"/>
              <w:right w:val="single" w:sz="6" w:space="0" w:color="auto"/>
            </w:tcBorders>
            <w:shd w:val="clear" w:color="auto" w:fill="auto"/>
            <w:vAlign w:val="center"/>
            <w:hideMark/>
          </w:tcPr>
          <w:p w14:paraId="211B0D47" w14:textId="6FD7A124" w:rsidR="00B104D3" w:rsidRPr="00B104D3" w:rsidRDefault="00B104D3" w:rsidP="00B104D3">
            <w:pPr>
              <w:spacing w:after="0"/>
              <w:jc w:val="center"/>
              <w:textAlignment w:val="baseline"/>
            </w:pPr>
            <w:r w:rsidRPr="00B104D3">
              <w:rPr>
                <w:b/>
                <w:bCs/>
                <w:sz w:val="20"/>
                <w:szCs w:val="20"/>
              </w:rPr>
              <w:t>3.89</w:t>
            </w:r>
            <w:r w:rsidRPr="00B104D3">
              <w:rPr>
                <w:rFonts w:ascii="Calibri" w:hAnsi="Calibri" w:cs="Calibri"/>
                <w:b/>
                <w:bCs/>
                <w:sz w:val="20"/>
                <w:szCs w:val="20"/>
              </w:rPr>
              <w:t>%</w:t>
            </w:r>
            <w:r w:rsidRPr="00B104D3">
              <w:rPr>
                <w:rFonts w:ascii="Calibri" w:hAnsi="Calibri" w:cs="Calibri"/>
                <w:sz w:val="20"/>
                <w:szCs w:val="20"/>
              </w:rPr>
              <w:t> </w:t>
            </w:r>
          </w:p>
        </w:tc>
      </w:tr>
      <w:tr w:rsidR="00B104D3" w:rsidRPr="00B104D3" w14:paraId="18EAE7D4" w14:textId="77777777" w:rsidTr="00B104D3">
        <w:trPr>
          <w:trHeight w:val="1575"/>
        </w:trPr>
        <w:tc>
          <w:tcPr>
            <w:tcW w:w="10125" w:type="dxa"/>
            <w:gridSpan w:val="7"/>
            <w:tcBorders>
              <w:top w:val="single" w:sz="12" w:space="0" w:color="auto"/>
              <w:left w:val="single" w:sz="6" w:space="0" w:color="auto"/>
              <w:bottom w:val="single" w:sz="6" w:space="0" w:color="auto"/>
              <w:right w:val="single" w:sz="6" w:space="0" w:color="auto"/>
            </w:tcBorders>
            <w:shd w:val="clear" w:color="auto" w:fill="auto"/>
            <w:vAlign w:val="center"/>
            <w:hideMark/>
          </w:tcPr>
          <w:p w14:paraId="1773C926" w14:textId="77777777" w:rsidR="00B104D3" w:rsidRPr="00B104D3" w:rsidRDefault="00B104D3" w:rsidP="00B104D3">
            <w:pPr>
              <w:spacing w:after="0"/>
              <w:textAlignment w:val="baseline"/>
            </w:pPr>
            <w:r w:rsidRPr="00B104D3">
              <w:rPr>
                <w:i/>
                <w:iCs/>
                <w:sz w:val="20"/>
                <w:szCs w:val="20"/>
              </w:rPr>
              <w:t>Calculation:</w:t>
            </w:r>
            <w:r w:rsidRPr="00B104D3">
              <w:rPr>
                <w:sz w:val="20"/>
                <w:szCs w:val="20"/>
              </w:rPr>
              <w:t> </w:t>
            </w:r>
          </w:p>
          <w:p w14:paraId="4FF87BD0" w14:textId="0AD7CC44" w:rsidR="00B104D3" w:rsidRPr="00B104D3" w:rsidRDefault="00B104D3" w:rsidP="00B104D3">
            <w:pPr>
              <w:spacing w:after="0"/>
              <w:ind w:left="240"/>
              <w:textAlignment w:val="baseline"/>
            </w:pPr>
            <w:r w:rsidRPr="00B104D3">
              <w:rPr>
                <w:sz w:val="20"/>
                <w:szCs w:val="20"/>
              </w:rPr>
              <w:t>Blended Compounding Projection = (1.037*1.0402*1.0413</w:t>
            </w:r>
            <w:r w:rsidRPr="00B104D3">
              <w:rPr>
                <w:rFonts w:ascii="Calibri" w:hAnsi="Calibri" w:cs="Calibri"/>
                <w:sz w:val="20"/>
                <w:szCs w:val="20"/>
              </w:rPr>
              <w:t>*</w:t>
            </w:r>
            <w:r w:rsidRPr="00B104D3">
              <w:rPr>
                <w:sz w:val="20"/>
                <w:szCs w:val="20"/>
              </w:rPr>
              <w:t>1.0452) ^ (1/4) -1 = 4.09</w:t>
            </w:r>
            <w:r w:rsidRPr="00B104D3">
              <w:rPr>
                <w:rFonts w:ascii="Calibri" w:hAnsi="Calibri" w:cs="Calibri"/>
                <w:sz w:val="20"/>
                <w:szCs w:val="20"/>
              </w:rPr>
              <w:t>%   </w:t>
            </w:r>
          </w:p>
          <w:p w14:paraId="0AB2BF92" w14:textId="4237E159" w:rsidR="00B104D3" w:rsidRPr="00B104D3" w:rsidRDefault="00B104D3" w:rsidP="00B104D3">
            <w:pPr>
              <w:spacing w:after="0"/>
              <w:ind w:left="240"/>
              <w:textAlignment w:val="baseline"/>
            </w:pPr>
            <w:r w:rsidRPr="00B104D3">
              <w:rPr>
                <w:sz w:val="20"/>
                <w:szCs w:val="20"/>
              </w:rPr>
              <w:t>Blended Target to date = 4</w:t>
            </w:r>
            <w:r w:rsidRPr="00B104D3">
              <w:rPr>
                <w:rFonts w:ascii="Calibri" w:hAnsi="Calibri" w:cs="Calibri"/>
                <w:sz w:val="20"/>
                <w:szCs w:val="20"/>
              </w:rPr>
              <w:t>.</w:t>
            </w:r>
            <w:r w:rsidRPr="00B104D3">
              <w:rPr>
                <w:sz w:val="20"/>
                <w:szCs w:val="20"/>
              </w:rPr>
              <w:t>09% - 0.2% = 3.89</w:t>
            </w:r>
            <w:r w:rsidRPr="00B104D3">
              <w:rPr>
                <w:rFonts w:ascii="Calibri" w:hAnsi="Calibri" w:cs="Calibri"/>
                <w:sz w:val="20"/>
                <w:szCs w:val="20"/>
              </w:rPr>
              <w:t>% </w:t>
            </w:r>
          </w:p>
          <w:p w14:paraId="066BF1D3" w14:textId="77777777" w:rsidR="00B104D3" w:rsidRPr="00B104D3" w:rsidRDefault="00B104D3" w:rsidP="00B104D3">
            <w:pPr>
              <w:spacing w:after="0"/>
              <w:textAlignment w:val="baseline"/>
            </w:pPr>
            <w:r w:rsidRPr="00B104D3">
              <w:rPr>
                <w:i/>
                <w:iCs/>
                <w:sz w:val="20"/>
                <w:szCs w:val="20"/>
              </w:rPr>
              <w:t>Source:</w:t>
            </w:r>
            <w:r w:rsidRPr="00B104D3">
              <w:rPr>
                <w:sz w:val="20"/>
                <w:szCs w:val="20"/>
              </w:rPr>
              <w:t> </w:t>
            </w:r>
          </w:p>
          <w:p w14:paraId="7628DE73" w14:textId="77777777" w:rsidR="00B104D3" w:rsidRPr="00B104D3" w:rsidRDefault="004E543B" w:rsidP="00B104D3">
            <w:pPr>
              <w:spacing w:after="0"/>
              <w:ind w:left="240"/>
              <w:textAlignment w:val="baseline"/>
            </w:pPr>
            <w:hyperlink r:id="rId11" w:tgtFrame="_blank" w:history="1">
              <w:r w:rsidR="00B104D3" w:rsidRPr="00B104D3">
                <w:rPr>
                  <w:color w:val="0000FF"/>
                  <w:sz w:val="20"/>
                  <w:szCs w:val="20"/>
                  <w:u w:val="single"/>
                </w:rPr>
                <w:t>https://www.cms.gov/Medicare/Health-Plans/MedicareAdvtgSpecRateStats/Announcements-and-Documents.html</w:t>
              </w:r>
            </w:hyperlink>
            <w:r w:rsidR="00B104D3" w:rsidRPr="00B104D3">
              <w:rPr>
                <w:rFonts w:ascii="Calibri" w:hAnsi="Calibri" w:cs="Calibri"/>
              </w:rPr>
              <w:t>  </w:t>
            </w:r>
          </w:p>
        </w:tc>
      </w:tr>
    </w:tbl>
    <w:p w14:paraId="2A486609" w14:textId="77777777" w:rsidR="00BE5B22" w:rsidRDefault="00B104D3" w:rsidP="00BE5B22">
      <w:pPr>
        <w:spacing w:after="0"/>
        <w:textAlignment w:val="baseline"/>
        <w:rPr>
          <w:i/>
          <w:iCs/>
        </w:rPr>
      </w:pPr>
      <w:r w:rsidRPr="00B104D3">
        <w:rPr>
          <w:sz w:val="22"/>
          <w:szCs w:val="22"/>
        </w:rPr>
        <w:t> </w:t>
      </w:r>
      <w:r w:rsidR="00BE5B22">
        <w:rPr>
          <w:i/>
          <w:iCs/>
        </w:rPr>
        <w:t>O</w:t>
      </w:r>
      <w:r w:rsidR="00D55528" w:rsidRPr="00D55528">
        <w:rPr>
          <w:i/>
          <w:iCs/>
        </w:rPr>
        <w:t xml:space="preserve">ther </w:t>
      </w:r>
      <w:r w:rsidR="00E73872">
        <w:rPr>
          <w:i/>
          <w:iCs/>
        </w:rPr>
        <w:t>Targets/</w:t>
      </w:r>
      <w:r w:rsidR="00D55528" w:rsidRPr="00D55528">
        <w:rPr>
          <w:i/>
          <w:iCs/>
        </w:rPr>
        <w:t>Benchmarks</w:t>
      </w:r>
    </w:p>
    <w:p w14:paraId="490616F5" w14:textId="77777777" w:rsidR="00BE5B22" w:rsidRDefault="00BE5B22" w:rsidP="00BE5B22">
      <w:pPr>
        <w:spacing w:after="0"/>
        <w:textAlignment w:val="baseline"/>
        <w:rPr>
          <w:i/>
          <w:iCs/>
        </w:rPr>
      </w:pPr>
    </w:p>
    <w:p w14:paraId="267C48FD" w14:textId="6E0CADC0" w:rsidR="0005170F" w:rsidRDefault="00E73872" w:rsidP="00BE5B22">
      <w:pPr>
        <w:spacing w:after="0"/>
        <w:textAlignment w:val="baseline"/>
      </w:pPr>
      <w:r>
        <w:t xml:space="preserve">The Board may add other </w:t>
      </w:r>
      <w:r w:rsidR="008326C7">
        <w:t xml:space="preserve">targets or </w:t>
      </w:r>
      <w:r>
        <w:t xml:space="preserve">benchmarks to guide the development or implementation of the ACOs Budget. Such </w:t>
      </w:r>
      <w:r w:rsidR="00D53968">
        <w:t>benchmarks</w:t>
      </w:r>
      <w:r>
        <w:t xml:space="preserve"> set in the past have included an administrative expense ratio</w:t>
      </w:r>
      <w:r w:rsidR="00822A6F">
        <w:t xml:space="preserve"> and a</w:t>
      </w:r>
      <w:r>
        <w:t xml:space="preserve"> population health investment ratio</w:t>
      </w:r>
      <w:r w:rsidR="00822A6F">
        <w:t>, among others. Please see prior year Budget Orders for</w:t>
      </w:r>
      <w:r w:rsidR="00214DAE">
        <w:t xml:space="preserve"> </w:t>
      </w:r>
      <w:r w:rsidR="00822A6F">
        <w:t>examples.</w:t>
      </w:r>
    </w:p>
    <w:p w14:paraId="357ADE76" w14:textId="77777777" w:rsidR="00BE5B22" w:rsidRDefault="00BE5B22" w:rsidP="00BE5B22">
      <w:pPr>
        <w:spacing w:after="0"/>
        <w:textAlignment w:val="baseline"/>
      </w:pPr>
    </w:p>
    <w:p w14:paraId="70856E00" w14:textId="7954EA84" w:rsidR="00C33E3B" w:rsidRDefault="00451524" w:rsidP="00451524">
      <w:pPr>
        <w:pStyle w:val="Heading1"/>
        <w:spacing w:line="240" w:lineRule="auto"/>
      </w:pPr>
      <w:bookmarkStart w:id="20" w:name="_Toc42002469"/>
      <w:bookmarkEnd w:id="19"/>
      <w:r>
        <w:t>PART I</w:t>
      </w:r>
      <w:r w:rsidR="00A70E60">
        <w:t>II</w:t>
      </w:r>
      <w:r>
        <w:t xml:space="preserve">. </w:t>
      </w:r>
      <w:r w:rsidR="00C33E3B">
        <w:t>REVISED BUDGET</w:t>
      </w:r>
      <w:bookmarkEnd w:id="20"/>
    </w:p>
    <w:p w14:paraId="214B3A2E" w14:textId="77777777" w:rsidR="00C33E3B" w:rsidRDefault="00C33E3B" w:rsidP="00C33E3B">
      <w:pPr>
        <w:pStyle w:val="ListParagraph"/>
        <w:numPr>
          <w:ilvl w:val="0"/>
          <w:numId w:val="23"/>
        </w:numPr>
      </w:pPr>
      <w:r>
        <w:t xml:space="preserve">Revised Budget Deliverables </w:t>
      </w:r>
      <w:proofErr w:type="gramStart"/>
      <w:r>
        <w:t>due</w:t>
      </w:r>
      <w:proofErr w:type="gramEnd"/>
      <w:r>
        <w:t xml:space="preserve"> Spring 2021, upon execution of payer contracts:</w:t>
      </w:r>
    </w:p>
    <w:p w14:paraId="5E03B593" w14:textId="77777777" w:rsidR="00C33E3B" w:rsidRDefault="00C33E3B" w:rsidP="00C33E3B">
      <w:pPr>
        <w:pStyle w:val="ListParagraph"/>
        <w:numPr>
          <w:ilvl w:val="1"/>
          <w:numId w:val="23"/>
        </w:numPr>
      </w:pPr>
      <w:r>
        <w:t xml:space="preserve">Final attribution by </w:t>
      </w:r>
      <w:proofErr w:type="gramStart"/>
      <w:r>
        <w:t>payer;</w:t>
      </w:r>
      <w:proofErr w:type="gramEnd"/>
    </w:p>
    <w:p w14:paraId="5D4E18E0" w14:textId="77777777" w:rsidR="00E602A4" w:rsidRDefault="00C33E3B" w:rsidP="00E602A4">
      <w:pPr>
        <w:pStyle w:val="ListParagraph"/>
        <w:numPr>
          <w:ilvl w:val="1"/>
          <w:numId w:val="23"/>
        </w:numPr>
      </w:pPr>
      <w:r>
        <w:t xml:space="preserve">Provider copies of all payer </w:t>
      </w:r>
      <w:proofErr w:type="gramStart"/>
      <w:r>
        <w:t>contracts;</w:t>
      </w:r>
      <w:proofErr w:type="gramEnd"/>
      <w:r>
        <w:t xml:space="preserve"> </w:t>
      </w:r>
    </w:p>
    <w:p w14:paraId="09CEBCEF" w14:textId="71A25CFE" w:rsidR="00E602A4" w:rsidRPr="00E602A4" w:rsidRDefault="00E602A4" w:rsidP="00E602A4">
      <w:pPr>
        <w:pStyle w:val="ListParagraph"/>
        <w:numPr>
          <w:ilvl w:val="1"/>
          <w:numId w:val="23"/>
        </w:numPr>
      </w:pPr>
      <w:r w:rsidRPr="00E602A4">
        <w:t xml:space="preserve">Details of expansion of fixed prospective payments (FPP) across </w:t>
      </w:r>
      <w:r>
        <w:t xml:space="preserve">payer </w:t>
      </w:r>
      <w:r w:rsidRPr="00E602A4">
        <w:t>programs, payment calculation methodologies, and adoption rates by providers;</w:t>
      </w:r>
      <w:r>
        <w:t xml:space="preserve"> and</w:t>
      </w:r>
    </w:p>
    <w:p w14:paraId="3EF97BF1" w14:textId="77777777" w:rsidR="00C33E3B" w:rsidRDefault="00C33E3B" w:rsidP="00C33E3B">
      <w:pPr>
        <w:pStyle w:val="ListParagraph"/>
        <w:numPr>
          <w:ilvl w:val="1"/>
          <w:numId w:val="23"/>
        </w:numPr>
      </w:pPr>
      <w:r w:rsidRPr="006A721B">
        <w:t>Provide an actuarial opinion that the risk-bearing arrangements between the ACO and payers are not expected to threaten the financial solvency of the ACO.</w:t>
      </w:r>
    </w:p>
    <w:p w14:paraId="49B5B420" w14:textId="77777777" w:rsidR="00C33E3B" w:rsidRPr="00C33E3B" w:rsidRDefault="00C33E3B" w:rsidP="00C33E3B"/>
    <w:p w14:paraId="73304800" w14:textId="3A33D31F" w:rsidR="00451524" w:rsidRDefault="00C33E3B" w:rsidP="00451524">
      <w:pPr>
        <w:pStyle w:val="Heading1"/>
        <w:spacing w:line="240" w:lineRule="auto"/>
      </w:pPr>
      <w:bookmarkStart w:id="21" w:name="_Toc42002470"/>
      <w:r>
        <w:t xml:space="preserve">PART IV. </w:t>
      </w:r>
      <w:r w:rsidR="00451524">
        <w:t>MONITORING</w:t>
      </w:r>
      <w:bookmarkEnd w:id="21"/>
    </w:p>
    <w:p w14:paraId="1592F525" w14:textId="552A902E" w:rsidR="00214DAE" w:rsidRDefault="00214DAE" w:rsidP="00451524">
      <w:r>
        <w:t xml:space="preserve">GMCB staff are currently working on developing a </w:t>
      </w:r>
      <w:r w:rsidR="00EA5EE8">
        <w:t>monitoring plan that will outline standard reporting and other deliverables to be provided by the ACO</w:t>
      </w:r>
      <w:r w:rsidR="00A7071D">
        <w:t xml:space="preserve"> to the GMCB</w:t>
      </w:r>
      <w:r w:rsidR="00A347D1">
        <w:t xml:space="preserve">, along with a timeline for their submission. </w:t>
      </w:r>
      <w:r w:rsidR="00085B0F">
        <w:t xml:space="preserve">This monitoring plan will include (but </w:t>
      </w:r>
      <w:r w:rsidR="00A7071D">
        <w:t xml:space="preserve">is </w:t>
      </w:r>
      <w:r w:rsidR="00085B0F">
        <w:t>not limited to):</w:t>
      </w:r>
    </w:p>
    <w:p w14:paraId="7A1225C4" w14:textId="5B22900F" w:rsidR="00295560" w:rsidRDefault="00E41394" w:rsidP="00C33E3B">
      <w:pPr>
        <w:pStyle w:val="ListParagraph"/>
        <w:numPr>
          <w:ilvl w:val="0"/>
          <w:numId w:val="26"/>
        </w:numPr>
      </w:pPr>
      <w:r>
        <w:t>Presentation of prior year performance, before Board vote on proposed budget</w:t>
      </w:r>
      <w:r w:rsidR="00BD4E72">
        <w:t>.</w:t>
      </w:r>
    </w:p>
    <w:p w14:paraId="67B1CE6F" w14:textId="27AE4056" w:rsidR="00085B0F" w:rsidRDefault="00085B0F" w:rsidP="00C33E3B">
      <w:pPr>
        <w:pStyle w:val="ListParagraph"/>
        <w:numPr>
          <w:ilvl w:val="0"/>
          <w:numId w:val="26"/>
        </w:numPr>
      </w:pPr>
      <w:r>
        <w:t>Tables submitted through the budget process for which reporting on actuals is required</w:t>
      </w:r>
      <w:r w:rsidR="00992E77">
        <w:t xml:space="preserve"> (e.g. Quarterly Financial Statements)</w:t>
      </w:r>
      <w:r w:rsidR="00BF1688">
        <w:t>.</w:t>
      </w:r>
    </w:p>
    <w:p w14:paraId="552B7CD7" w14:textId="57FD83A9" w:rsidR="00C4196A" w:rsidRDefault="00A7071D" w:rsidP="00C33E3B">
      <w:pPr>
        <w:pStyle w:val="ListParagraph"/>
        <w:numPr>
          <w:ilvl w:val="0"/>
          <w:numId w:val="26"/>
        </w:numPr>
      </w:pPr>
      <w:r>
        <w:t xml:space="preserve">Data on </w:t>
      </w:r>
      <w:r w:rsidR="002B7D68">
        <w:t>HSA level performance (financial, quality, utilization) at least quarterly</w:t>
      </w:r>
      <w:r w:rsidR="00BF1688">
        <w:t>.</w:t>
      </w:r>
    </w:p>
    <w:p w14:paraId="33B0E008" w14:textId="7FB27673" w:rsidR="00BD4E72" w:rsidRDefault="00B3364D" w:rsidP="00C33E3B">
      <w:pPr>
        <w:pStyle w:val="ListParagraph"/>
        <w:numPr>
          <w:ilvl w:val="0"/>
          <w:numId w:val="26"/>
        </w:numPr>
      </w:pPr>
      <w:r>
        <w:lastRenderedPageBreak/>
        <w:t>All-Payer Total Cost of Care, Per Member Per Month, 5-Year Compounding Growth Rate, comparative analysis of state-wide performance to ACO-specific performance.</w:t>
      </w:r>
    </w:p>
    <w:p w14:paraId="7C770A2B" w14:textId="1E8A9806" w:rsidR="007854F8" w:rsidRPr="006A721B" w:rsidRDefault="007854F8" w:rsidP="00C33E3B">
      <w:pPr>
        <w:pStyle w:val="ListParagraph"/>
        <w:numPr>
          <w:ilvl w:val="0"/>
          <w:numId w:val="26"/>
        </w:numPr>
      </w:pPr>
      <w:r>
        <w:t>Information on ACO’s complaints, grievances, and appeals processes for enrollees and providers.</w:t>
      </w:r>
    </w:p>
    <w:p w14:paraId="4FEDDC7B" w14:textId="49211F9F" w:rsidR="00451524" w:rsidRDefault="00E728BC" w:rsidP="007E5F1B">
      <w:r>
        <w:t xml:space="preserve">This monitoring plan will also discuss confidentiality and </w:t>
      </w:r>
      <w:r w:rsidR="00BF1688">
        <w:t xml:space="preserve">will </w:t>
      </w:r>
      <w:r>
        <w:t xml:space="preserve">specify when certain deliverables warrant presentation to the Board in a public </w:t>
      </w:r>
      <w:r w:rsidR="00613A23">
        <w:t>forum as opposed to conditions under which</w:t>
      </w:r>
      <w:r>
        <w:t xml:space="preserve"> staff review </w:t>
      </w:r>
      <w:r w:rsidR="00E54F20">
        <w:t xml:space="preserve">and analysis </w:t>
      </w:r>
      <w:r>
        <w:t>is sufficient.</w:t>
      </w:r>
    </w:p>
    <w:sectPr w:rsidR="00451524" w:rsidSect="00B3364D">
      <w:headerReference w:type="even" r:id="rId12"/>
      <w:headerReference w:type="default" r:id="rId13"/>
      <w:footerReference w:type="default" r:id="rId14"/>
      <w:headerReference w:type="first" r:id="rId15"/>
      <w:pgSz w:w="12240" w:h="15840"/>
      <w:pgMar w:top="1080" w:right="1080" w:bottom="1080" w:left="1080" w:header="115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7467" w14:textId="77777777" w:rsidR="00BD19EB" w:rsidRDefault="00BD19EB" w:rsidP="00EE70A8">
      <w:r>
        <w:separator/>
      </w:r>
    </w:p>
  </w:endnote>
  <w:endnote w:type="continuationSeparator" w:id="0">
    <w:p w14:paraId="3CE14C94" w14:textId="77777777" w:rsidR="00BD19EB" w:rsidRDefault="00BD19EB" w:rsidP="00EE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62CF" w14:textId="3C4D4A4D" w:rsidR="00BD19EB" w:rsidRPr="00EE70A8" w:rsidRDefault="00BD19EB" w:rsidP="00163D69">
    <w:pPr>
      <w:pStyle w:val="Footer"/>
      <w:tabs>
        <w:tab w:val="right" w:pos="12960"/>
      </w:tabs>
      <w:jc w:val="right"/>
      <w:rPr>
        <w:rFonts w:cs="Times New Roman"/>
      </w:rPr>
    </w:pPr>
    <w:r w:rsidRPr="007A7012">
      <w:rPr>
        <w:rFonts w:cs="Times New Roman"/>
        <w:szCs w:val="20"/>
      </w:rPr>
      <w:t xml:space="preserve">Green Mountain Care Board </w:t>
    </w:r>
    <w:r>
      <w:rPr>
        <w:rFonts w:cs="Times New Roman"/>
        <w:szCs w:val="20"/>
      </w:rPr>
      <w:t>FY2021</w:t>
    </w:r>
    <w:r w:rsidRPr="007A7012">
      <w:rPr>
        <w:rFonts w:cs="Times New Roman"/>
        <w:szCs w:val="20"/>
      </w:rPr>
      <w:t xml:space="preserve"> ACO Annual Reporting and Budget Guidance</w:t>
    </w:r>
    <w:r w:rsidRPr="00D143FC">
      <w:rPr>
        <w:rFonts w:cs="Times New Roman"/>
      </w:rPr>
      <w:t xml:space="preserve"> </w:t>
    </w:r>
    <w:r>
      <w:rPr>
        <w:rFonts w:cs="Times New Roman"/>
      </w:rPr>
      <w:tab/>
    </w:r>
    <w:r>
      <w:rPr>
        <w:rFonts w:cs="Times New Roman"/>
      </w:rPr>
      <w:tab/>
    </w:r>
    <w:sdt>
      <w:sdtPr>
        <w:rPr>
          <w:rFonts w:cs="Times New Roman"/>
        </w:rPr>
        <w:id w:val="-1917620401"/>
        <w:docPartObj>
          <w:docPartGallery w:val="Page Numbers (Bottom of Page)"/>
          <w:docPartUnique/>
        </w:docPartObj>
      </w:sdtPr>
      <w:sdtEndPr>
        <w:rPr>
          <w:noProof/>
        </w:rPr>
      </w:sdtEndPr>
      <w:sdtContent>
        <w:r w:rsidRPr="00D143FC">
          <w:rPr>
            <w:rFonts w:cs="Times New Roman"/>
          </w:rPr>
          <w:fldChar w:fldCharType="begin"/>
        </w:r>
        <w:r w:rsidRPr="00D143FC">
          <w:rPr>
            <w:rFonts w:cs="Times New Roman"/>
          </w:rPr>
          <w:instrText xml:space="preserve"> PAGE   \* MERGEFORMAT </w:instrText>
        </w:r>
        <w:r w:rsidRPr="00D143FC">
          <w:rPr>
            <w:rFonts w:cs="Times New Roman"/>
          </w:rPr>
          <w:fldChar w:fldCharType="separate"/>
        </w:r>
        <w:r>
          <w:rPr>
            <w:rFonts w:cs="Times New Roman"/>
          </w:rPr>
          <w:t>2</w:t>
        </w:r>
        <w:r w:rsidRPr="00D143FC">
          <w:rPr>
            <w:rFonts w:cs="Times New Roman"/>
            <w:noProof/>
          </w:rPr>
          <w:fldChar w:fldCharType="end"/>
        </w:r>
      </w:sdtContent>
    </w:sdt>
    <w:r>
      <w:rPr>
        <w:rFonts w:cs="Times New Roman"/>
        <w:noProof/>
      </w:rPr>
      <w:t xml:space="preserve"> of </w:t>
    </w:r>
    <w:r>
      <w:rPr>
        <w:rFonts w:cs="Times New Roman"/>
        <w:noProof/>
      </w:rPr>
      <w:fldChar w:fldCharType="begin"/>
    </w:r>
    <w:r>
      <w:rPr>
        <w:rFonts w:cs="Times New Roman"/>
        <w:noProof/>
      </w:rPr>
      <w:instrText xml:space="preserve"> NUMPAGES  \* Arabic  \* MERGEFORMAT </w:instrText>
    </w:r>
    <w:r>
      <w:rPr>
        <w:rFonts w:cs="Times New Roman"/>
        <w:noProof/>
      </w:rPr>
      <w:fldChar w:fldCharType="separate"/>
    </w:r>
    <w:r>
      <w:rPr>
        <w:rFonts w:cs="Times New Roman"/>
        <w:noProof/>
      </w:rPr>
      <w:t>15</w:t>
    </w:r>
    <w:r>
      <w:rPr>
        <w:rFonts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F8D3" w14:textId="77777777" w:rsidR="00BD19EB" w:rsidRDefault="00BD19EB" w:rsidP="00163D69">
      <w:pPr>
        <w:spacing w:after="0"/>
      </w:pPr>
      <w:r>
        <w:separator/>
      </w:r>
    </w:p>
  </w:footnote>
  <w:footnote w:type="continuationSeparator" w:id="0">
    <w:p w14:paraId="541760C9" w14:textId="77777777" w:rsidR="00BD19EB" w:rsidRDefault="00BD19EB" w:rsidP="00EE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F876" w14:textId="23A64468" w:rsidR="00BD19EB" w:rsidRDefault="004E543B">
    <w:pPr>
      <w:pStyle w:val="Header"/>
    </w:pPr>
    <w:r>
      <w:rPr>
        <w:noProof/>
      </w:rPr>
      <w:pict w14:anchorId="0C3D3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26316" o:spid="_x0000_s2053"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A1DE" w14:textId="2DAB6CB7" w:rsidR="00BD19EB" w:rsidRDefault="004E543B">
    <w:pPr>
      <w:pStyle w:val="Header"/>
    </w:pPr>
    <w:r>
      <w:rPr>
        <w:noProof/>
      </w:rPr>
      <w:pict w14:anchorId="18FFF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26317" o:spid="_x0000_s2054"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E3FF" w14:textId="635EC9D5" w:rsidR="00BD19EB" w:rsidRDefault="004E543B">
    <w:pPr>
      <w:pStyle w:val="Header"/>
    </w:pPr>
    <w:r>
      <w:rPr>
        <w:noProof/>
      </w:rPr>
      <w:pict w14:anchorId="71584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26315" o:spid="_x0000_s205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FD1"/>
    <w:multiLevelType w:val="hybridMultilevel"/>
    <w:tmpl w:val="065E7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2C1A"/>
    <w:multiLevelType w:val="hybridMultilevel"/>
    <w:tmpl w:val="A88EC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92C00"/>
    <w:multiLevelType w:val="hybridMultilevel"/>
    <w:tmpl w:val="74D6BE86"/>
    <w:lvl w:ilvl="0" w:tplc="AE160910">
      <w:start w:val="1"/>
      <w:numFmt w:val="decimal"/>
      <w:lvlText w:val="%1."/>
      <w:lvlJc w:val="left"/>
      <w:pPr>
        <w:tabs>
          <w:tab w:val="num" w:pos="720"/>
        </w:tabs>
        <w:ind w:left="720" w:hanging="360"/>
      </w:pPr>
    </w:lvl>
    <w:lvl w:ilvl="1" w:tplc="0F466814">
      <w:start w:val="1"/>
      <w:numFmt w:val="decimal"/>
      <w:lvlText w:val="%2."/>
      <w:lvlJc w:val="left"/>
      <w:pPr>
        <w:tabs>
          <w:tab w:val="num" w:pos="1440"/>
        </w:tabs>
        <w:ind w:left="1440" w:hanging="360"/>
      </w:pPr>
    </w:lvl>
    <w:lvl w:ilvl="2" w:tplc="59F8E948" w:tentative="1">
      <w:start w:val="1"/>
      <w:numFmt w:val="decimal"/>
      <w:lvlText w:val="%3."/>
      <w:lvlJc w:val="left"/>
      <w:pPr>
        <w:tabs>
          <w:tab w:val="num" w:pos="2160"/>
        </w:tabs>
        <w:ind w:left="2160" w:hanging="360"/>
      </w:pPr>
    </w:lvl>
    <w:lvl w:ilvl="3" w:tplc="F926D11E" w:tentative="1">
      <w:start w:val="1"/>
      <w:numFmt w:val="decimal"/>
      <w:lvlText w:val="%4."/>
      <w:lvlJc w:val="left"/>
      <w:pPr>
        <w:tabs>
          <w:tab w:val="num" w:pos="2880"/>
        </w:tabs>
        <w:ind w:left="2880" w:hanging="360"/>
      </w:pPr>
    </w:lvl>
    <w:lvl w:ilvl="4" w:tplc="E6002FBC" w:tentative="1">
      <w:start w:val="1"/>
      <w:numFmt w:val="decimal"/>
      <w:lvlText w:val="%5."/>
      <w:lvlJc w:val="left"/>
      <w:pPr>
        <w:tabs>
          <w:tab w:val="num" w:pos="3600"/>
        </w:tabs>
        <w:ind w:left="3600" w:hanging="360"/>
      </w:pPr>
    </w:lvl>
    <w:lvl w:ilvl="5" w:tplc="CBF4E5EC" w:tentative="1">
      <w:start w:val="1"/>
      <w:numFmt w:val="decimal"/>
      <w:lvlText w:val="%6."/>
      <w:lvlJc w:val="left"/>
      <w:pPr>
        <w:tabs>
          <w:tab w:val="num" w:pos="4320"/>
        </w:tabs>
        <w:ind w:left="4320" w:hanging="360"/>
      </w:pPr>
    </w:lvl>
    <w:lvl w:ilvl="6" w:tplc="43301814" w:tentative="1">
      <w:start w:val="1"/>
      <w:numFmt w:val="decimal"/>
      <w:lvlText w:val="%7."/>
      <w:lvlJc w:val="left"/>
      <w:pPr>
        <w:tabs>
          <w:tab w:val="num" w:pos="5040"/>
        </w:tabs>
        <w:ind w:left="5040" w:hanging="360"/>
      </w:pPr>
    </w:lvl>
    <w:lvl w:ilvl="7" w:tplc="066EECD8" w:tentative="1">
      <w:start w:val="1"/>
      <w:numFmt w:val="decimal"/>
      <w:lvlText w:val="%8."/>
      <w:lvlJc w:val="left"/>
      <w:pPr>
        <w:tabs>
          <w:tab w:val="num" w:pos="5760"/>
        </w:tabs>
        <w:ind w:left="5760" w:hanging="360"/>
      </w:pPr>
    </w:lvl>
    <w:lvl w:ilvl="8" w:tplc="D38AF990" w:tentative="1">
      <w:start w:val="1"/>
      <w:numFmt w:val="decimal"/>
      <w:lvlText w:val="%9."/>
      <w:lvlJc w:val="left"/>
      <w:pPr>
        <w:tabs>
          <w:tab w:val="num" w:pos="6480"/>
        </w:tabs>
        <w:ind w:left="6480" w:hanging="360"/>
      </w:pPr>
    </w:lvl>
  </w:abstractNum>
  <w:abstractNum w:abstractNumId="3" w15:restartNumberingAfterBreak="0">
    <w:nsid w:val="0DA63B09"/>
    <w:multiLevelType w:val="hybridMultilevel"/>
    <w:tmpl w:val="06F2D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65C41"/>
    <w:multiLevelType w:val="hybridMultilevel"/>
    <w:tmpl w:val="082E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70B10"/>
    <w:multiLevelType w:val="hybridMultilevel"/>
    <w:tmpl w:val="5D667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64E6"/>
    <w:multiLevelType w:val="multilevel"/>
    <w:tmpl w:val="6180D8F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4D602F0"/>
    <w:multiLevelType w:val="hybridMultilevel"/>
    <w:tmpl w:val="DDC08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C72E56"/>
    <w:multiLevelType w:val="hybridMultilevel"/>
    <w:tmpl w:val="CAA49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14703E"/>
    <w:multiLevelType w:val="hybridMultilevel"/>
    <w:tmpl w:val="F670C8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62E8F"/>
    <w:multiLevelType w:val="hybridMultilevel"/>
    <w:tmpl w:val="A88EC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2A6AAE"/>
    <w:multiLevelType w:val="multilevel"/>
    <w:tmpl w:val="A79A2974"/>
    <w:lvl w:ilvl="0">
      <w:start w:val="1"/>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A7132EF"/>
    <w:multiLevelType w:val="hybridMultilevel"/>
    <w:tmpl w:val="58F08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6264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1F09A2"/>
    <w:multiLevelType w:val="hybridMultilevel"/>
    <w:tmpl w:val="78E43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041D49"/>
    <w:multiLevelType w:val="hybridMultilevel"/>
    <w:tmpl w:val="7038855C"/>
    <w:lvl w:ilvl="0" w:tplc="8E70F3DC">
      <w:start w:val="1"/>
      <w:numFmt w:val="decimal"/>
      <w:lvlText w:val="%1."/>
      <w:lvlJc w:val="left"/>
      <w:pPr>
        <w:tabs>
          <w:tab w:val="num" w:pos="720"/>
        </w:tabs>
        <w:ind w:left="720" w:hanging="360"/>
      </w:pPr>
    </w:lvl>
    <w:lvl w:ilvl="1" w:tplc="DB888040">
      <w:start w:val="1"/>
      <w:numFmt w:val="decimal"/>
      <w:lvlText w:val="%2."/>
      <w:lvlJc w:val="left"/>
      <w:pPr>
        <w:tabs>
          <w:tab w:val="num" w:pos="1440"/>
        </w:tabs>
        <w:ind w:left="1440" w:hanging="360"/>
      </w:pPr>
    </w:lvl>
    <w:lvl w:ilvl="2" w:tplc="9514C8C6" w:tentative="1">
      <w:start w:val="1"/>
      <w:numFmt w:val="decimal"/>
      <w:lvlText w:val="%3."/>
      <w:lvlJc w:val="left"/>
      <w:pPr>
        <w:tabs>
          <w:tab w:val="num" w:pos="2160"/>
        </w:tabs>
        <w:ind w:left="2160" w:hanging="360"/>
      </w:pPr>
    </w:lvl>
    <w:lvl w:ilvl="3" w:tplc="E4424CA4" w:tentative="1">
      <w:start w:val="1"/>
      <w:numFmt w:val="decimal"/>
      <w:lvlText w:val="%4."/>
      <w:lvlJc w:val="left"/>
      <w:pPr>
        <w:tabs>
          <w:tab w:val="num" w:pos="2880"/>
        </w:tabs>
        <w:ind w:left="2880" w:hanging="360"/>
      </w:pPr>
    </w:lvl>
    <w:lvl w:ilvl="4" w:tplc="C2F0EF98" w:tentative="1">
      <w:start w:val="1"/>
      <w:numFmt w:val="decimal"/>
      <w:lvlText w:val="%5."/>
      <w:lvlJc w:val="left"/>
      <w:pPr>
        <w:tabs>
          <w:tab w:val="num" w:pos="3600"/>
        </w:tabs>
        <w:ind w:left="3600" w:hanging="360"/>
      </w:pPr>
    </w:lvl>
    <w:lvl w:ilvl="5" w:tplc="58E25EFC" w:tentative="1">
      <w:start w:val="1"/>
      <w:numFmt w:val="decimal"/>
      <w:lvlText w:val="%6."/>
      <w:lvlJc w:val="left"/>
      <w:pPr>
        <w:tabs>
          <w:tab w:val="num" w:pos="4320"/>
        </w:tabs>
        <w:ind w:left="4320" w:hanging="360"/>
      </w:pPr>
    </w:lvl>
    <w:lvl w:ilvl="6" w:tplc="743E0964" w:tentative="1">
      <w:start w:val="1"/>
      <w:numFmt w:val="decimal"/>
      <w:lvlText w:val="%7."/>
      <w:lvlJc w:val="left"/>
      <w:pPr>
        <w:tabs>
          <w:tab w:val="num" w:pos="5040"/>
        </w:tabs>
        <w:ind w:left="5040" w:hanging="360"/>
      </w:pPr>
    </w:lvl>
    <w:lvl w:ilvl="7" w:tplc="82744392" w:tentative="1">
      <w:start w:val="1"/>
      <w:numFmt w:val="decimal"/>
      <w:lvlText w:val="%8."/>
      <w:lvlJc w:val="left"/>
      <w:pPr>
        <w:tabs>
          <w:tab w:val="num" w:pos="5760"/>
        </w:tabs>
        <w:ind w:left="5760" w:hanging="360"/>
      </w:pPr>
    </w:lvl>
    <w:lvl w:ilvl="8" w:tplc="85DA5BD4" w:tentative="1">
      <w:start w:val="1"/>
      <w:numFmt w:val="decimal"/>
      <w:lvlText w:val="%9."/>
      <w:lvlJc w:val="left"/>
      <w:pPr>
        <w:tabs>
          <w:tab w:val="num" w:pos="6480"/>
        </w:tabs>
        <w:ind w:left="6480" w:hanging="360"/>
      </w:pPr>
    </w:lvl>
  </w:abstractNum>
  <w:abstractNum w:abstractNumId="16" w15:restartNumberingAfterBreak="0">
    <w:nsid w:val="4B68272A"/>
    <w:multiLevelType w:val="hybridMultilevel"/>
    <w:tmpl w:val="5D667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0B5173"/>
    <w:multiLevelType w:val="hybridMultilevel"/>
    <w:tmpl w:val="F670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41C41"/>
    <w:multiLevelType w:val="hybridMultilevel"/>
    <w:tmpl w:val="22962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42C59"/>
    <w:multiLevelType w:val="hybridMultilevel"/>
    <w:tmpl w:val="F990AC2A"/>
    <w:lvl w:ilvl="0" w:tplc="6A22FB84">
      <w:start w:val="1"/>
      <w:numFmt w:val="decimal"/>
      <w:lvlText w:val="%1."/>
      <w:lvlJc w:val="left"/>
      <w:pPr>
        <w:tabs>
          <w:tab w:val="num" w:pos="720"/>
        </w:tabs>
        <w:ind w:left="720" w:hanging="360"/>
      </w:pPr>
    </w:lvl>
    <w:lvl w:ilvl="1" w:tplc="957C3536">
      <w:start w:val="1"/>
      <w:numFmt w:val="decimal"/>
      <w:lvlText w:val="%2."/>
      <w:lvlJc w:val="left"/>
      <w:pPr>
        <w:tabs>
          <w:tab w:val="num" w:pos="1440"/>
        </w:tabs>
        <w:ind w:left="1440" w:hanging="360"/>
      </w:pPr>
    </w:lvl>
    <w:lvl w:ilvl="2" w:tplc="E258DDEC" w:tentative="1">
      <w:start w:val="1"/>
      <w:numFmt w:val="decimal"/>
      <w:lvlText w:val="%3."/>
      <w:lvlJc w:val="left"/>
      <w:pPr>
        <w:tabs>
          <w:tab w:val="num" w:pos="2160"/>
        </w:tabs>
        <w:ind w:left="2160" w:hanging="360"/>
      </w:pPr>
    </w:lvl>
    <w:lvl w:ilvl="3" w:tplc="2F206B6E" w:tentative="1">
      <w:start w:val="1"/>
      <w:numFmt w:val="decimal"/>
      <w:lvlText w:val="%4."/>
      <w:lvlJc w:val="left"/>
      <w:pPr>
        <w:tabs>
          <w:tab w:val="num" w:pos="2880"/>
        </w:tabs>
        <w:ind w:left="2880" w:hanging="360"/>
      </w:pPr>
    </w:lvl>
    <w:lvl w:ilvl="4" w:tplc="DE145112" w:tentative="1">
      <w:start w:val="1"/>
      <w:numFmt w:val="decimal"/>
      <w:lvlText w:val="%5."/>
      <w:lvlJc w:val="left"/>
      <w:pPr>
        <w:tabs>
          <w:tab w:val="num" w:pos="3600"/>
        </w:tabs>
        <w:ind w:left="3600" w:hanging="360"/>
      </w:pPr>
    </w:lvl>
    <w:lvl w:ilvl="5" w:tplc="7A52408E" w:tentative="1">
      <w:start w:val="1"/>
      <w:numFmt w:val="decimal"/>
      <w:lvlText w:val="%6."/>
      <w:lvlJc w:val="left"/>
      <w:pPr>
        <w:tabs>
          <w:tab w:val="num" w:pos="4320"/>
        </w:tabs>
        <w:ind w:left="4320" w:hanging="360"/>
      </w:pPr>
    </w:lvl>
    <w:lvl w:ilvl="6" w:tplc="E9D2C818" w:tentative="1">
      <w:start w:val="1"/>
      <w:numFmt w:val="decimal"/>
      <w:lvlText w:val="%7."/>
      <w:lvlJc w:val="left"/>
      <w:pPr>
        <w:tabs>
          <w:tab w:val="num" w:pos="5040"/>
        </w:tabs>
        <w:ind w:left="5040" w:hanging="360"/>
      </w:pPr>
    </w:lvl>
    <w:lvl w:ilvl="7" w:tplc="F0CA1136" w:tentative="1">
      <w:start w:val="1"/>
      <w:numFmt w:val="decimal"/>
      <w:lvlText w:val="%8."/>
      <w:lvlJc w:val="left"/>
      <w:pPr>
        <w:tabs>
          <w:tab w:val="num" w:pos="5760"/>
        </w:tabs>
        <w:ind w:left="5760" w:hanging="360"/>
      </w:pPr>
    </w:lvl>
    <w:lvl w:ilvl="8" w:tplc="A7A29E52" w:tentative="1">
      <w:start w:val="1"/>
      <w:numFmt w:val="decimal"/>
      <w:lvlText w:val="%9."/>
      <w:lvlJc w:val="left"/>
      <w:pPr>
        <w:tabs>
          <w:tab w:val="num" w:pos="6480"/>
        </w:tabs>
        <w:ind w:left="6480" w:hanging="360"/>
      </w:pPr>
    </w:lvl>
  </w:abstractNum>
  <w:abstractNum w:abstractNumId="20" w15:restartNumberingAfterBreak="0">
    <w:nsid w:val="54133653"/>
    <w:multiLevelType w:val="hybridMultilevel"/>
    <w:tmpl w:val="CB262D1C"/>
    <w:lvl w:ilvl="0" w:tplc="478AE0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A3458"/>
    <w:multiLevelType w:val="hybridMultilevel"/>
    <w:tmpl w:val="78E43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7E3831"/>
    <w:multiLevelType w:val="multilevel"/>
    <w:tmpl w:val="E5627E4E"/>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F86A53"/>
    <w:multiLevelType w:val="hybridMultilevel"/>
    <w:tmpl w:val="E724D176"/>
    <w:lvl w:ilvl="0" w:tplc="780CCD3E">
      <w:start w:val="1"/>
      <w:numFmt w:val="decimal"/>
      <w:pStyle w:val="ListParagraph"/>
      <w:lvlText w:val="%1."/>
      <w:lvlJc w:val="left"/>
      <w:pPr>
        <w:ind w:left="2520" w:hanging="360"/>
      </w:pPr>
    </w:lvl>
    <w:lvl w:ilvl="1" w:tplc="0409000F">
      <w:start w:val="1"/>
      <w:numFmt w:val="decimal"/>
      <w:lvlText w:val="%2."/>
      <w:lvlJc w:val="left"/>
      <w:pPr>
        <w:ind w:left="-270" w:hanging="360"/>
      </w:pPr>
    </w:lvl>
    <w:lvl w:ilvl="2" w:tplc="0409001B">
      <w:start w:val="1"/>
      <w:numFmt w:val="lowerRoman"/>
      <w:lvlText w:val="%3."/>
      <w:lvlJc w:val="right"/>
      <w:pPr>
        <w:ind w:left="450" w:hanging="180"/>
      </w:pPr>
    </w:lvl>
    <w:lvl w:ilvl="3" w:tplc="0409000F">
      <w:start w:val="1"/>
      <w:numFmt w:val="decimal"/>
      <w:lvlText w:val="%4."/>
      <w:lvlJc w:val="left"/>
      <w:pPr>
        <w:ind w:left="1170" w:hanging="360"/>
      </w:pPr>
    </w:lvl>
    <w:lvl w:ilvl="4" w:tplc="04090019">
      <w:start w:val="1"/>
      <w:numFmt w:val="lowerLetter"/>
      <w:lvlText w:val="%5."/>
      <w:lvlJc w:val="left"/>
      <w:pPr>
        <w:ind w:left="1890" w:hanging="360"/>
      </w:pPr>
    </w:lvl>
    <w:lvl w:ilvl="5" w:tplc="0409001B">
      <w:start w:val="1"/>
      <w:numFmt w:val="lowerRoman"/>
      <w:lvlText w:val="%6."/>
      <w:lvlJc w:val="right"/>
      <w:pPr>
        <w:ind w:left="2610" w:hanging="180"/>
      </w:pPr>
    </w:lvl>
    <w:lvl w:ilvl="6" w:tplc="0409000F">
      <w:start w:val="1"/>
      <w:numFmt w:val="decimal"/>
      <w:lvlText w:val="%7."/>
      <w:lvlJc w:val="left"/>
      <w:pPr>
        <w:ind w:left="3330" w:hanging="360"/>
      </w:pPr>
    </w:lvl>
    <w:lvl w:ilvl="7" w:tplc="04090019">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4" w15:restartNumberingAfterBreak="0">
    <w:nsid w:val="6BA27E9B"/>
    <w:multiLevelType w:val="multilevel"/>
    <w:tmpl w:val="E5627E4E"/>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4F955D9"/>
    <w:multiLevelType w:val="multilevel"/>
    <w:tmpl w:val="6180D8F6"/>
    <w:lvl w:ilvl="0">
      <w:start w:val="1"/>
      <w:numFmt w:val="decimal"/>
      <w:lvlText w:val="%1."/>
      <w:lvlJc w:val="left"/>
      <w:pPr>
        <w:tabs>
          <w:tab w:val="num" w:pos="720"/>
        </w:tabs>
        <w:ind w:left="720"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23"/>
  </w:num>
  <w:num w:numId="3">
    <w:abstractNumId w:val="3"/>
  </w:num>
  <w:num w:numId="4">
    <w:abstractNumId w:val="0"/>
  </w:num>
  <w:num w:numId="5">
    <w:abstractNumId w:val="2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22"/>
  </w:num>
  <w:num w:numId="10">
    <w:abstractNumId w:val="25"/>
  </w:num>
  <w:num w:numId="11">
    <w:abstractNumId w:val="13"/>
  </w:num>
  <w:num w:numId="12">
    <w:abstractNumId w:val="8"/>
  </w:num>
  <w:num w:numId="13">
    <w:abstractNumId w:val="14"/>
  </w:num>
  <w:num w:numId="14">
    <w:abstractNumId w:val="21"/>
  </w:num>
  <w:num w:numId="15">
    <w:abstractNumId w:val="10"/>
  </w:num>
  <w:num w:numId="16">
    <w:abstractNumId w:val="1"/>
  </w:num>
  <w:num w:numId="17">
    <w:abstractNumId w:val="17"/>
  </w:num>
  <w:num w:numId="18">
    <w:abstractNumId w:val="11"/>
  </w:num>
  <w:num w:numId="19">
    <w:abstractNumId w:val="6"/>
  </w:num>
  <w:num w:numId="20">
    <w:abstractNumId w:val="7"/>
  </w:num>
  <w:num w:numId="21">
    <w:abstractNumId w:val="12"/>
  </w:num>
  <w:num w:numId="22">
    <w:abstractNumId w:val="9"/>
  </w:num>
  <w:num w:numId="23">
    <w:abstractNumId w:val="16"/>
  </w:num>
  <w:num w:numId="24">
    <w:abstractNumId w:val="15"/>
  </w:num>
  <w:num w:numId="25">
    <w:abstractNumId w:val="19"/>
  </w:num>
  <w:num w:numId="26">
    <w:abstractNumId w:val="5"/>
  </w:num>
  <w:num w:numId="27">
    <w:abstractNumId w:val="2"/>
  </w:num>
  <w:num w:numId="28">
    <w:abstractNumId w:val="1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D0"/>
    <w:rsid w:val="0000024F"/>
    <w:rsid w:val="0000096E"/>
    <w:rsid w:val="00000D0D"/>
    <w:rsid w:val="0000215E"/>
    <w:rsid w:val="0000251E"/>
    <w:rsid w:val="00002E49"/>
    <w:rsid w:val="00003600"/>
    <w:rsid w:val="00004355"/>
    <w:rsid w:val="00004661"/>
    <w:rsid w:val="00005516"/>
    <w:rsid w:val="000071A8"/>
    <w:rsid w:val="0000747D"/>
    <w:rsid w:val="0000748C"/>
    <w:rsid w:val="0000775F"/>
    <w:rsid w:val="0000797D"/>
    <w:rsid w:val="00011A31"/>
    <w:rsid w:val="000122D7"/>
    <w:rsid w:val="00012B53"/>
    <w:rsid w:val="00013930"/>
    <w:rsid w:val="00013A2D"/>
    <w:rsid w:val="000145E7"/>
    <w:rsid w:val="000167C8"/>
    <w:rsid w:val="00017459"/>
    <w:rsid w:val="00017645"/>
    <w:rsid w:val="000179E9"/>
    <w:rsid w:val="00017EAD"/>
    <w:rsid w:val="00021F1E"/>
    <w:rsid w:val="00022B44"/>
    <w:rsid w:val="0002476C"/>
    <w:rsid w:val="0002663A"/>
    <w:rsid w:val="00026A12"/>
    <w:rsid w:val="00026BCB"/>
    <w:rsid w:val="0002776C"/>
    <w:rsid w:val="00027A63"/>
    <w:rsid w:val="00027DEB"/>
    <w:rsid w:val="000323CF"/>
    <w:rsid w:val="0003270D"/>
    <w:rsid w:val="00032721"/>
    <w:rsid w:val="00032B41"/>
    <w:rsid w:val="000336F5"/>
    <w:rsid w:val="00033B1A"/>
    <w:rsid w:val="0003494D"/>
    <w:rsid w:val="00035578"/>
    <w:rsid w:val="00037A63"/>
    <w:rsid w:val="00037CBD"/>
    <w:rsid w:val="00037FF0"/>
    <w:rsid w:val="000403C5"/>
    <w:rsid w:val="0004097A"/>
    <w:rsid w:val="00040BDD"/>
    <w:rsid w:val="000412CF"/>
    <w:rsid w:val="000421C7"/>
    <w:rsid w:val="00044F93"/>
    <w:rsid w:val="00045104"/>
    <w:rsid w:val="00046444"/>
    <w:rsid w:val="000466FC"/>
    <w:rsid w:val="00046E37"/>
    <w:rsid w:val="00050B04"/>
    <w:rsid w:val="0005159C"/>
    <w:rsid w:val="0005170F"/>
    <w:rsid w:val="000521E8"/>
    <w:rsid w:val="00052D67"/>
    <w:rsid w:val="00054C86"/>
    <w:rsid w:val="00055070"/>
    <w:rsid w:val="0005516D"/>
    <w:rsid w:val="00055C4A"/>
    <w:rsid w:val="000616C3"/>
    <w:rsid w:val="00061788"/>
    <w:rsid w:val="00062FDB"/>
    <w:rsid w:val="0006324C"/>
    <w:rsid w:val="00063C97"/>
    <w:rsid w:val="00064EAC"/>
    <w:rsid w:val="00065BB7"/>
    <w:rsid w:val="00066164"/>
    <w:rsid w:val="00066274"/>
    <w:rsid w:val="000676A5"/>
    <w:rsid w:val="00067A91"/>
    <w:rsid w:val="000706C0"/>
    <w:rsid w:val="00070B52"/>
    <w:rsid w:val="00073F1E"/>
    <w:rsid w:val="000751E5"/>
    <w:rsid w:val="00075D02"/>
    <w:rsid w:val="0007603A"/>
    <w:rsid w:val="00076208"/>
    <w:rsid w:val="00076655"/>
    <w:rsid w:val="00076F2A"/>
    <w:rsid w:val="00076F6E"/>
    <w:rsid w:val="000774D9"/>
    <w:rsid w:val="00080EB9"/>
    <w:rsid w:val="00081161"/>
    <w:rsid w:val="00081765"/>
    <w:rsid w:val="00082CEC"/>
    <w:rsid w:val="00083D4F"/>
    <w:rsid w:val="0008459D"/>
    <w:rsid w:val="0008495E"/>
    <w:rsid w:val="00085109"/>
    <w:rsid w:val="00085B0F"/>
    <w:rsid w:val="00086713"/>
    <w:rsid w:val="0008681A"/>
    <w:rsid w:val="00086DE7"/>
    <w:rsid w:val="00091322"/>
    <w:rsid w:val="0009178C"/>
    <w:rsid w:val="00091ADC"/>
    <w:rsid w:val="00091CDF"/>
    <w:rsid w:val="00093136"/>
    <w:rsid w:val="000955CF"/>
    <w:rsid w:val="00095B90"/>
    <w:rsid w:val="00095C21"/>
    <w:rsid w:val="00096593"/>
    <w:rsid w:val="000972B7"/>
    <w:rsid w:val="000A00CC"/>
    <w:rsid w:val="000A0DDE"/>
    <w:rsid w:val="000A13A4"/>
    <w:rsid w:val="000A24C8"/>
    <w:rsid w:val="000A2B90"/>
    <w:rsid w:val="000A31DC"/>
    <w:rsid w:val="000A3D3A"/>
    <w:rsid w:val="000A400B"/>
    <w:rsid w:val="000A47D3"/>
    <w:rsid w:val="000A4962"/>
    <w:rsid w:val="000A4A8D"/>
    <w:rsid w:val="000A6254"/>
    <w:rsid w:val="000A75DE"/>
    <w:rsid w:val="000B0579"/>
    <w:rsid w:val="000B113A"/>
    <w:rsid w:val="000B461C"/>
    <w:rsid w:val="000B4E5A"/>
    <w:rsid w:val="000B5687"/>
    <w:rsid w:val="000B7DCC"/>
    <w:rsid w:val="000C0502"/>
    <w:rsid w:val="000C0F71"/>
    <w:rsid w:val="000C14EE"/>
    <w:rsid w:val="000C1B45"/>
    <w:rsid w:val="000C1DEA"/>
    <w:rsid w:val="000C2798"/>
    <w:rsid w:val="000C3BEB"/>
    <w:rsid w:val="000C59EE"/>
    <w:rsid w:val="000C7C6C"/>
    <w:rsid w:val="000D0B6D"/>
    <w:rsid w:val="000D158A"/>
    <w:rsid w:val="000D1D7B"/>
    <w:rsid w:val="000D25AD"/>
    <w:rsid w:val="000D2FA3"/>
    <w:rsid w:val="000D3658"/>
    <w:rsid w:val="000D4D5D"/>
    <w:rsid w:val="000D503C"/>
    <w:rsid w:val="000D50A1"/>
    <w:rsid w:val="000D6078"/>
    <w:rsid w:val="000D6621"/>
    <w:rsid w:val="000E1757"/>
    <w:rsid w:val="000E2F52"/>
    <w:rsid w:val="000E3BFD"/>
    <w:rsid w:val="000E3F43"/>
    <w:rsid w:val="000E4E14"/>
    <w:rsid w:val="000E6542"/>
    <w:rsid w:val="000E735D"/>
    <w:rsid w:val="000F1669"/>
    <w:rsid w:val="000F279B"/>
    <w:rsid w:val="000F2F2E"/>
    <w:rsid w:val="000F39F4"/>
    <w:rsid w:val="000F3D91"/>
    <w:rsid w:val="000F44EC"/>
    <w:rsid w:val="000F5A47"/>
    <w:rsid w:val="000F5AEA"/>
    <w:rsid w:val="00100C86"/>
    <w:rsid w:val="00101644"/>
    <w:rsid w:val="00101DC9"/>
    <w:rsid w:val="001036BC"/>
    <w:rsid w:val="00103D8A"/>
    <w:rsid w:val="00104199"/>
    <w:rsid w:val="001048B7"/>
    <w:rsid w:val="00105450"/>
    <w:rsid w:val="00105712"/>
    <w:rsid w:val="001109AF"/>
    <w:rsid w:val="001122B7"/>
    <w:rsid w:val="00112390"/>
    <w:rsid w:val="00112EC2"/>
    <w:rsid w:val="0011372A"/>
    <w:rsid w:val="001142C9"/>
    <w:rsid w:val="00114B46"/>
    <w:rsid w:val="00116242"/>
    <w:rsid w:val="001169A0"/>
    <w:rsid w:val="00116DAD"/>
    <w:rsid w:val="001176E8"/>
    <w:rsid w:val="00117D46"/>
    <w:rsid w:val="00120294"/>
    <w:rsid w:val="00120637"/>
    <w:rsid w:val="001216F1"/>
    <w:rsid w:val="00121859"/>
    <w:rsid w:val="0012459F"/>
    <w:rsid w:val="00124777"/>
    <w:rsid w:val="00124D2F"/>
    <w:rsid w:val="00125EE5"/>
    <w:rsid w:val="00127E0A"/>
    <w:rsid w:val="001301B3"/>
    <w:rsid w:val="00130BFC"/>
    <w:rsid w:val="001310F0"/>
    <w:rsid w:val="00133472"/>
    <w:rsid w:val="00137EF7"/>
    <w:rsid w:val="00142671"/>
    <w:rsid w:val="00143442"/>
    <w:rsid w:val="00144D9F"/>
    <w:rsid w:val="00144FF5"/>
    <w:rsid w:val="001454BF"/>
    <w:rsid w:val="001465E2"/>
    <w:rsid w:val="001476F8"/>
    <w:rsid w:val="00147ACE"/>
    <w:rsid w:val="001501B0"/>
    <w:rsid w:val="001509A5"/>
    <w:rsid w:val="00150B3B"/>
    <w:rsid w:val="001513A2"/>
    <w:rsid w:val="00154A63"/>
    <w:rsid w:val="00154E39"/>
    <w:rsid w:val="0015555D"/>
    <w:rsid w:val="00155AFC"/>
    <w:rsid w:val="00157FB5"/>
    <w:rsid w:val="00160126"/>
    <w:rsid w:val="00160456"/>
    <w:rsid w:val="00160770"/>
    <w:rsid w:val="00161A7F"/>
    <w:rsid w:val="00163D69"/>
    <w:rsid w:val="00166327"/>
    <w:rsid w:val="0016735B"/>
    <w:rsid w:val="00167B7A"/>
    <w:rsid w:val="00170A8D"/>
    <w:rsid w:val="00171516"/>
    <w:rsid w:val="001715DA"/>
    <w:rsid w:val="00171604"/>
    <w:rsid w:val="001721B2"/>
    <w:rsid w:val="00173E67"/>
    <w:rsid w:val="001764D7"/>
    <w:rsid w:val="00176555"/>
    <w:rsid w:val="001766C7"/>
    <w:rsid w:val="00180456"/>
    <w:rsid w:val="001825E5"/>
    <w:rsid w:val="00182B2C"/>
    <w:rsid w:val="00182DC9"/>
    <w:rsid w:val="0018305A"/>
    <w:rsid w:val="00184BED"/>
    <w:rsid w:val="00184C51"/>
    <w:rsid w:val="001852E4"/>
    <w:rsid w:val="00185766"/>
    <w:rsid w:val="0019058A"/>
    <w:rsid w:val="00190D00"/>
    <w:rsid w:val="00191F7B"/>
    <w:rsid w:val="001927DF"/>
    <w:rsid w:val="00194E31"/>
    <w:rsid w:val="001969E3"/>
    <w:rsid w:val="001973FC"/>
    <w:rsid w:val="001A143D"/>
    <w:rsid w:val="001A22C7"/>
    <w:rsid w:val="001A380A"/>
    <w:rsid w:val="001A41E7"/>
    <w:rsid w:val="001A497C"/>
    <w:rsid w:val="001A5097"/>
    <w:rsid w:val="001A56DD"/>
    <w:rsid w:val="001A5973"/>
    <w:rsid w:val="001A5B26"/>
    <w:rsid w:val="001A71D1"/>
    <w:rsid w:val="001A7A3C"/>
    <w:rsid w:val="001B08F4"/>
    <w:rsid w:val="001B4203"/>
    <w:rsid w:val="001B495E"/>
    <w:rsid w:val="001B51B1"/>
    <w:rsid w:val="001B6EAE"/>
    <w:rsid w:val="001C0900"/>
    <w:rsid w:val="001C214A"/>
    <w:rsid w:val="001C3A42"/>
    <w:rsid w:val="001C4184"/>
    <w:rsid w:val="001C4629"/>
    <w:rsid w:val="001C4F4D"/>
    <w:rsid w:val="001C6616"/>
    <w:rsid w:val="001C781F"/>
    <w:rsid w:val="001C79FA"/>
    <w:rsid w:val="001C7C1C"/>
    <w:rsid w:val="001D0BD2"/>
    <w:rsid w:val="001D1CD8"/>
    <w:rsid w:val="001D2157"/>
    <w:rsid w:val="001D2D61"/>
    <w:rsid w:val="001D30F2"/>
    <w:rsid w:val="001D3356"/>
    <w:rsid w:val="001D4A7F"/>
    <w:rsid w:val="001D60DF"/>
    <w:rsid w:val="001D6970"/>
    <w:rsid w:val="001E084D"/>
    <w:rsid w:val="001E13DD"/>
    <w:rsid w:val="001E211D"/>
    <w:rsid w:val="001E2EF8"/>
    <w:rsid w:val="001E3D4A"/>
    <w:rsid w:val="001E57D6"/>
    <w:rsid w:val="001E624C"/>
    <w:rsid w:val="001E6317"/>
    <w:rsid w:val="001E6895"/>
    <w:rsid w:val="001E7DFB"/>
    <w:rsid w:val="001F06CE"/>
    <w:rsid w:val="001F0753"/>
    <w:rsid w:val="001F11FA"/>
    <w:rsid w:val="001F1BDA"/>
    <w:rsid w:val="001F35C7"/>
    <w:rsid w:val="001F4219"/>
    <w:rsid w:val="001F5A8E"/>
    <w:rsid w:val="001F6099"/>
    <w:rsid w:val="00200A14"/>
    <w:rsid w:val="002011AB"/>
    <w:rsid w:val="00202AD5"/>
    <w:rsid w:val="00202C2A"/>
    <w:rsid w:val="0020302B"/>
    <w:rsid w:val="0020431C"/>
    <w:rsid w:val="00204870"/>
    <w:rsid w:val="00204BC6"/>
    <w:rsid w:val="00206D9F"/>
    <w:rsid w:val="002079D3"/>
    <w:rsid w:val="00207C27"/>
    <w:rsid w:val="00210618"/>
    <w:rsid w:val="0021250E"/>
    <w:rsid w:val="00212D28"/>
    <w:rsid w:val="00213E95"/>
    <w:rsid w:val="002149CA"/>
    <w:rsid w:val="00214DAE"/>
    <w:rsid w:val="00214EA4"/>
    <w:rsid w:val="00216567"/>
    <w:rsid w:val="00220C86"/>
    <w:rsid w:val="0022260A"/>
    <w:rsid w:val="00222AF4"/>
    <w:rsid w:val="002230B2"/>
    <w:rsid w:val="00223CD9"/>
    <w:rsid w:val="0022444A"/>
    <w:rsid w:val="00224656"/>
    <w:rsid w:val="00225B0D"/>
    <w:rsid w:val="00227951"/>
    <w:rsid w:val="00231083"/>
    <w:rsid w:val="00231AEE"/>
    <w:rsid w:val="00232AB2"/>
    <w:rsid w:val="00233A93"/>
    <w:rsid w:val="00234880"/>
    <w:rsid w:val="00234A00"/>
    <w:rsid w:val="0023721B"/>
    <w:rsid w:val="00241D4D"/>
    <w:rsid w:val="00242830"/>
    <w:rsid w:val="00242AD9"/>
    <w:rsid w:val="00242E8E"/>
    <w:rsid w:val="002431E9"/>
    <w:rsid w:val="0024371B"/>
    <w:rsid w:val="00243BD5"/>
    <w:rsid w:val="00246183"/>
    <w:rsid w:val="002465A6"/>
    <w:rsid w:val="00250571"/>
    <w:rsid w:val="00250842"/>
    <w:rsid w:val="00250BEE"/>
    <w:rsid w:val="00250C62"/>
    <w:rsid w:val="00251F20"/>
    <w:rsid w:val="0025234C"/>
    <w:rsid w:val="0025349C"/>
    <w:rsid w:val="00253712"/>
    <w:rsid w:val="0025399A"/>
    <w:rsid w:val="00254BDE"/>
    <w:rsid w:val="00254CBD"/>
    <w:rsid w:val="00255CC6"/>
    <w:rsid w:val="002577AA"/>
    <w:rsid w:val="00257A61"/>
    <w:rsid w:val="00260C4E"/>
    <w:rsid w:val="002619ED"/>
    <w:rsid w:val="0026221D"/>
    <w:rsid w:val="0026242F"/>
    <w:rsid w:val="00262776"/>
    <w:rsid w:val="0026403B"/>
    <w:rsid w:val="00264342"/>
    <w:rsid w:val="002645B1"/>
    <w:rsid w:val="00264785"/>
    <w:rsid w:val="00265080"/>
    <w:rsid w:val="00265124"/>
    <w:rsid w:val="002664BC"/>
    <w:rsid w:val="0027171C"/>
    <w:rsid w:val="00272B99"/>
    <w:rsid w:val="0027304D"/>
    <w:rsid w:val="002737C8"/>
    <w:rsid w:val="00274247"/>
    <w:rsid w:val="00274363"/>
    <w:rsid w:val="00274E90"/>
    <w:rsid w:val="00275BE7"/>
    <w:rsid w:val="002771D6"/>
    <w:rsid w:val="00277740"/>
    <w:rsid w:val="0028014B"/>
    <w:rsid w:val="00283BBA"/>
    <w:rsid w:val="00284A84"/>
    <w:rsid w:val="002869DB"/>
    <w:rsid w:val="002878A8"/>
    <w:rsid w:val="00290100"/>
    <w:rsid w:val="00290F8E"/>
    <w:rsid w:val="0029127D"/>
    <w:rsid w:val="00291299"/>
    <w:rsid w:val="00291360"/>
    <w:rsid w:val="00291AE1"/>
    <w:rsid w:val="00292EA4"/>
    <w:rsid w:val="00292F32"/>
    <w:rsid w:val="0029317E"/>
    <w:rsid w:val="00293E71"/>
    <w:rsid w:val="00294121"/>
    <w:rsid w:val="002941C9"/>
    <w:rsid w:val="00295025"/>
    <w:rsid w:val="00295560"/>
    <w:rsid w:val="002955A5"/>
    <w:rsid w:val="0029573A"/>
    <w:rsid w:val="00297413"/>
    <w:rsid w:val="002A0795"/>
    <w:rsid w:val="002A18BC"/>
    <w:rsid w:val="002A1E83"/>
    <w:rsid w:val="002A2583"/>
    <w:rsid w:val="002A35E2"/>
    <w:rsid w:val="002A4A3D"/>
    <w:rsid w:val="002A5225"/>
    <w:rsid w:val="002A5B29"/>
    <w:rsid w:val="002A6028"/>
    <w:rsid w:val="002A71AE"/>
    <w:rsid w:val="002B1DB8"/>
    <w:rsid w:val="002B21E9"/>
    <w:rsid w:val="002B5C92"/>
    <w:rsid w:val="002B69C3"/>
    <w:rsid w:val="002B6AA8"/>
    <w:rsid w:val="002B6E05"/>
    <w:rsid w:val="002B7D68"/>
    <w:rsid w:val="002C1BE8"/>
    <w:rsid w:val="002C1F79"/>
    <w:rsid w:val="002C24E7"/>
    <w:rsid w:val="002C3045"/>
    <w:rsid w:val="002C56F5"/>
    <w:rsid w:val="002C62D7"/>
    <w:rsid w:val="002C644B"/>
    <w:rsid w:val="002C65F3"/>
    <w:rsid w:val="002C66FA"/>
    <w:rsid w:val="002D0080"/>
    <w:rsid w:val="002D10F4"/>
    <w:rsid w:val="002D2778"/>
    <w:rsid w:val="002D3CE7"/>
    <w:rsid w:val="002D4751"/>
    <w:rsid w:val="002D4754"/>
    <w:rsid w:val="002D51C1"/>
    <w:rsid w:val="002D51DA"/>
    <w:rsid w:val="002D57E3"/>
    <w:rsid w:val="002D7C34"/>
    <w:rsid w:val="002E0300"/>
    <w:rsid w:val="002E10D2"/>
    <w:rsid w:val="002E1971"/>
    <w:rsid w:val="002E27DF"/>
    <w:rsid w:val="002E47CA"/>
    <w:rsid w:val="002E52B0"/>
    <w:rsid w:val="002E538D"/>
    <w:rsid w:val="002E5B82"/>
    <w:rsid w:val="002E68A5"/>
    <w:rsid w:val="002E6E9F"/>
    <w:rsid w:val="002E6EAA"/>
    <w:rsid w:val="002E70FE"/>
    <w:rsid w:val="002E7E7C"/>
    <w:rsid w:val="002F0265"/>
    <w:rsid w:val="002F209A"/>
    <w:rsid w:val="002F38BE"/>
    <w:rsid w:val="002F49B2"/>
    <w:rsid w:val="002F5E97"/>
    <w:rsid w:val="002F7166"/>
    <w:rsid w:val="002F75D1"/>
    <w:rsid w:val="00300BA8"/>
    <w:rsid w:val="00300C8C"/>
    <w:rsid w:val="0030269A"/>
    <w:rsid w:val="00303A09"/>
    <w:rsid w:val="0030606C"/>
    <w:rsid w:val="00307DC6"/>
    <w:rsid w:val="00311B14"/>
    <w:rsid w:val="00311EEE"/>
    <w:rsid w:val="00312DCD"/>
    <w:rsid w:val="00313A01"/>
    <w:rsid w:val="00313CF4"/>
    <w:rsid w:val="00315C95"/>
    <w:rsid w:val="003169F3"/>
    <w:rsid w:val="0031762F"/>
    <w:rsid w:val="00317935"/>
    <w:rsid w:val="003206DF"/>
    <w:rsid w:val="003212EA"/>
    <w:rsid w:val="00324283"/>
    <w:rsid w:val="00324E07"/>
    <w:rsid w:val="003263D7"/>
    <w:rsid w:val="0032725D"/>
    <w:rsid w:val="003276F2"/>
    <w:rsid w:val="00327A90"/>
    <w:rsid w:val="0033117E"/>
    <w:rsid w:val="00332BE8"/>
    <w:rsid w:val="00333A58"/>
    <w:rsid w:val="0033655C"/>
    <w:rsid w:val="00336865"/>
    <w:rsid w:val="00340A81"/>
    <w:rsid w:val="003415A1"/>
    <w:rsid w:val="0034229D"/>
    <w:rsid w:val="003424A6"/>
    <w:rsid w:val="00343532"/>
    <w:rsid w:val="0034451D"/>
    <w:rsid w:val="0034471F"/>
    <w:rsid w:val="00344FBF"/>
    <w:rsid w:val="00345078"/>
    <w:rsid w:val="00345564"/>
    <w:rsid w:val="0034583C"/>
    <w:rsid w:val="00345B71"/>
    <w:rsid w:val="00347836"/>
    <w:rsid w:val="00347FD7"/>
    <w:rsid w:val="003503D5"/>
    <w:rsid w:val="0035071E"/>
    <w:rsid w:val="003511C8"/>
    <w:rsid w:val="00351978"/>
    <w:rsid w:val="003525E3"/>
    <w:rsid w:val="00355043"/>
    <w:rsid w:val="00355230"/>
    <w:rsid w:val="0035523A"/>
    <w:rsid w:val="003554E6"/>
    <w:rsid w:val="0035593E"/>
    <w:rsid w:val="00356B9E"/>
    <w:rsid w:val="00357EF2"/>
    <w:rsid w:val="0036061F"/>
    <w:rsid w:val="00360B05"/>
    <w:rsid w:val="003617EC"/>
    <w:rsid w:val="00362125"/>
    <w:rsid w:val="00362DE1"/>
    <w:rsid w:val="0036343C"/>
    <w:rsid w:val="00364493"/>
    <w:rsid w:val="003648B6"/>
    <w:rsid w:val="0036608D"/>
    <w:rsid w:val="003662E1"/>
    <w:rsid w:val="003666B4"/>
    <w:rsid w:val="00367ACC"/>
    <w:rsid w:val="00372C01"/>
    <w:rsid w:val="003730BB"/>
    <w:rsid w:val="0037367F"/>
    <w:rsid w:val="003749E1"/>
    <w:rsid w:val="00374AAF"/>
    <w:rsid w:val="00374F3A"/>
    <w:rsid w:val="0037584B"/>
    <w:rsid w:val="00377850"/>
    <w:rsid w:val="0038459D"/>
    <w:rsid w:val="00384606"/>
    <w:rsid w:val="00385706"/>
    <w:rsid w:val="003864A2"/>
    <w:rsid w:val="003903BE"/>
    <w:rsid w:val="00390EB2"/>
    <w:rsid w:val="003910C6"/>
    <w:rsid w:val="0039152E"/>
    <w:rsid w:val="003917DD"/>
    <w:rsid w:val="00392BA9"/>
    <w:rsid w:val="00396FB9"/>
    <w:rsid w:val="003A0310"/>
    <w:rsid w:val="003A0D36"/>
    <w:rsid w:val="003A16AE"/>
    <w:rsid w:val="003A32B0"/>
    <w:rsid w:val="003A517A"/>
    <w:rsid w:val="003A5D6B"/>
    <w:rsid w:val="003A65A2"/>
    <w:rsid w:val="003A7EFA"/>
    <w:rsid w:val="003B017D"/>
    <w:rsid w:val="003B0F36"/>
    <w:rsid w:val="003B1267"/>
    <w:rsid w:val="003B1874"/>
    <w:rsid w:val="003B39BF"/>
    <w:rsid w:val="003B4D1B"/>
    <w:rsid w:val="003B560C"/>
    <w:rsid w:val="003B6B38"/>
    <w:rsid w:val="003C0B8D"/>
    <w:rsid w:val="003C21AC"/>
    <w:rsid w:val="003C25C8"/>
    <w:rsid w:val="003C364D"/>
    <w:rsid w:val="003C77EE"/>
    <w:rsid w:val="003D05B0"/>
    <w:rsid w:val="003D1E3B"/>
    <w:rsid w:val="003D3404"/>
    <w:rsid w:val="003D4ABC"/>
    <w:rsid w:val="003D7601"/>
    <w:rsid w:val="003D7627"/>
    <w:rsid w:val="003D7BFA"/>
    <w:rsid w:val="003E136D"/>
    <w:rsid w:val="003E152F"/>
    <w:rsid w:val="003E1FF8"/>
    <w:rsid w:val="003E2CC0"/>
    <w:rsid w:val="003E42D7"/>
    <w:rsid w:val="003E437E"/>
    <w:rsid w:val="003E4D89"/>
    <w:rsid w:val="003E4EE3"/>
    <w:rsid w:val="003E519E"/>
    <w:rsid w:val="003E6230"/>
    <w:rsid w:val="003E7EA3"/>
    <w:rsid w:val="003F0EB5"/>
    <w:rsid w:val="003F15BA"/>
    <w:rsid w:val="003F260D"/>
    <w:rsid w:val="003F2AA4"/>
    <w:rsid w:val="003F46CD"/>
    <w:rsid w:val="003F5B70"/>
    <w:rsid w:val="003F7C00"/>
    <w:rsid w:val="004003AB"/>
    <w:rsid w:val="00400428"/>
    <w:rsid w:val="00400B2B"/>
    <w:rsid w:val="00401216"/>
    <w:rsid w:val="0040122C"/>
    <w:rsid w:val="0040146A"/>
    <w:rsid w:val="004016BA"/>
    <w:rsid w:val="00401D83"/>
    <w:rsid w:val="00403721"/>
    <w:rsid w:val="00404D8A"/>
    <w:rsid w:val="00410414"/>
    <w:rsid w:val="00410465"/>
    <w:rsid w:val="00411381"/>
    <w:rsid w:val="004117D5"/>
    <w:rsid w:val="00411B70"/>
    <w:rsid w:val="00412297"/>
    <w:rsid w:val="00415FDC"/>
    <w:rsid w:val="004160F2"/>
    <w:rsid w:val="004163FD"/>
    <w:rsid w:val="00416DA0"/>
    <w:rsid w:val="00417ED5"/>
    <w:rsid w:val="00420224"/>
    <w:rsid w:val="00420B83"/>
    <w:rsid w:val="00421D34"/>
    <w:rsid w:val="00423E8D"/>
    <w:rsid w:val="0042468D"/>
    <w:rsid w:val="00424AED"/>
    <w:rsid w:val="00425FF3"/>
    <w:rsid w:val="004260AF"/>
    <w:rsid w:val="0042645B"/>
    <w:rsid w:val="00426673"/>
    <w:rsid w:val="00426A61"/>
    <w:rsid w:val="0043008F"/>
    <w:rsid w:val="00432155"/>
    <w:rsid w:val="00432B85"/>
    <w:rsid w:val="00434D11"/>
    <w:rsid w:val="00434DBE"/>
    <w:rsid w:val="00435816"/>
    <w:rsid w:val="00435BF4"/>
    <w:rsid w:val="00435C60"/>
    <w:rsid w:val="004369E5"/>
    <w:rsid w:val="00436E33"/>
    <w:rsid w:val="004374D4"/>
    <w:rsid w:val="00437784"/>
    <w:rsid w:val="00440348"/>
    <w:rsid w:val="00441A60"/>
    <w:rsid w:val="00442742"/>
    <w:rsid w:val="00442F33"/>
    <w:rsid w:val="00442FB4"/>
    <w:rsid w:val="00443991"/>
    <w:rsid w:val="00443AE7"/>
    <w:rsid w:val="00443C0C"/>
    <w:rsid w:val="004441CF"/>
    <w:rsid w:val="004454B9"/>
    <w:rsid w:val="004454C4"/>
    <w:rsid w:val="00446493"/>
    <w:rsid w:val="00451524"/>
    <w:rsid w:val="004532AD"/>
    <w:rsid w:val="004534E0"/>
    <w:rsid w:val="00456896"/>
    <w:rsid w:val="00456B7E"/>
    <w:rsid w:val="0045779B"/>
    <w:rsid w:val="004620D9"/>
    <w:rsid w:val="00462810"/>
    <w:rsid w:val="004633D3"/>
    <w:rsid w:val="00465C57"/>
    <w:rsid w:val="00466190"/>
    <w:rsid w:val="0047076D"/>
    <w:rsid w:val="004717DE"/>
    <w:rsid w:val="00472955"/>
    <w:rsid w:val="0047327B"/>
    <w:rsid w:val="00473AFF"/>
    <w:rsid w:val="00475527"/>
    <w:rsid w:val="00477252"/>
    <w:rsid w:val="00477FCD"/>
    <w:rsid w:val="00482B81"/>
    <w:rsid w:val="00483264"/>
    <w:rsid w:val="0048472C"/>
    <w:rsid w:val="00484B7C"/>
    <w:rsid w:val="004850C1"/>
    <w:rsid w:val="00486555"/>
    <w:rsid w:val="00490256"/>
    <w:rsid w:val="00491177"/>
    <w:rsid w:val="004926FD"/>
    <w:rsid w:val="00492A54"/>
    <w:rsid w:val="0049686E"/>
    <w:rsid w:val="004977A6"/>
    <w:rsid w:val="004A131D"/>
    <w:rsid w:val="004A243F"/>
    <w:rsid w:val="004A2E6C"/>
    <w:rsid w:val="004A3902"/>
    <w:rsid w:val="004A495E"/>
    <w:rsid w:val="004A62A7"/>
    <w:rsid w:val="004A6AE3"/>
    <w:rsid w:val="004A7417"/>
    <w:rsid w:val="004A7DA9"/>
    <w:rsid w:val="004B1650"/>
    <w:rsid w:val="004B22B2"/>
    <w:rsid w:val="004B2C3D"/>
    <w:rsid w:val="004B4796"/>
    <w:rsid w:val="004B50F5"/>
    <w:rsid w:val="004B5D98"/>
    <w:rsid w:val="004B60EC"/>
    <w:rsid w:val="004B6212"/>
    <w:rsid w:val="004C1EC0"/>
    <w:rsid w:val="004C1F20"/>
    <w:rsid w:val="004C242E"/>
    <w:rsid w:val="004C2B14"/>
    <w:rsid w:val="004C30F2"/>
    <w:rsid w:val="004C3397"/>
    <w:rsid w:val="004C3E77"/>
    <w:rsid w:val="004C444A"/>
    <w:rsid w:val="004C4F13"/>
    <w:rsid w:val="004C6483"/>
    <w:rsid w:val="004C670A"/>
    <w:rsid w:val="004C696C"/>
    <w:rsid w:val="004C723B"/>
    <w:rsid w:val="004C7A63"/>
    <w:rsid w:val="004D0B34"/>
    <w:rsid w:val="004D1C62"/>
    <w:rsid w:val="004D6957"/>
    <w:rsid w:val="004E06E1"/>
    <w:rsid w:val="004E073F"/>
    <w:rsid w:val="004E093A"/>
    <w:rsid w:val="004E1F1B"/>
    <w:rsid w:val="004E543B"/>
    <w:rsid w:val="004E7618"/>
    <w:rsid w:val="004F18A0"/>
    <w:rsid w:val="004F1B14"/>
    <w:rsid w:val="004F30B2"/>
    <w:rsid w:val="004F31B1"/>
    <w:rsid w:val="004F4160"/>
    <w:rsid w:val="004F5B43"/>
    <w:rsid w:val="004F61EE"/>
    <w:rsid w:val="004F6758"/>
    <w:rsid w:val="004F74B2"/>
    <w:rsid w:val="00500F3C"/>
    <w:rsid w:val="00501395"/>
    <w:rsid w:val="00501BEF"/>
    <w:rsid w:val="00502EC3"/>
    <w:rsid w:val="00504FF7"/>
    <w:rsid w:val="00505056"/>
    <w:rsid w:val="005050A2"/>
    <w:rsid w:val="0050651C"/>
    <w:rsid w:val="0050688A"/>
    <w:rsid w:val="00506905"/>
    <w:rsid w:val="005078D8"/>
    <w:rsid w:val="00511A23"/>
    <w:rsid w:val="00511A9B"/>
    <w:rsid w:val="00513BB6"/>
    <w:rsid w:val="00515A95"/>
    <w:rsid w:val="005167CA"/>
    <w:rsid w:val="005167DF"/>
    <w:rsid w:val="00516D33"/>
    <w:rsid w:val="005174FA"/>
    <w:rsid w:val="00517626"/>
    <w:rsid w:val="00517903"/>
    <w:rsid w:val="0052111A"/>
    <w:rsid w:val="00521497"/>
    <w:rsid w:val="00523718"/>
    <w:rsid w:val="00523AF2"/>
    <w:rsid w:val="005245F1"/>
    <w:rsid w:val="0052722F"/>
    <w:rsid w:val="005311BE"/>
    <w:rsid w:val="00534D25"/>
    <w:rsid w:val="005361A9"/>
    <w:rsid w:val="00536B17"/>
    <w:rsid w:val="00537985"/>
    <w:rsid w:val="00537D54"/>
    <w:rsid w:val="0054002B"/>
    <w:rsid w:val="00540A59"/>
    <w:rsid w:val="00542385"/>
    <w:rsid w:val="00542C05"/>
    <w:rsid w:val="00543F4D"/>
    <w:rsid w:val="00545475"/>
    <w:rsid w:val="00545B99"/>
    <w:rsid w:val="00547575"/>
    <w:rsid w:val="00547920"/>
    <w:rsid w:val="00551587"/>
    <w:rsid w:val="00551D2F"/>
    <w:rsid w:val="005542C7"/>
    <w:rsid w:val="0055606D"/>
    <w:rsid w:val="00557542"/>
    <w:rsid w:val="00557B44"/>
    <w:rsid w:val="00561635"/>
    <w:rsid w:val="00561982"/>
    <w:rsid w:val="005621B6"/>
    <w:rsid w:val="00562F93"/>
    <w:rsid w:val="005640FC"/>
    <w:rsid w:val="00571488"/>
    <w:rsid w:val="0057166B"/>
    <w:rsid w:val="005718FC"/>
    <w:rsid w:val="00572120"/>
    <w:rsid w:val="005731AF"/>
    <w:rsid w:val="0057352C"/>
    <w:rsid w:val="00573F73"/>
    <w:rsid w:val="00576D5D"/>
    <w:rsid w:val="00577423"/>
    <w:rsid w:val="005811EB"/>
    <w:rsid w:val="00583803"/>
    <w:rsid w:val="00585929"/>
    <w:rsid w:val="00586875"/>
    <w:rsid w:val="005875B5"/>
    <w:rsid w:val="00590C34"/>
    <w:rsid w:val="005922CA"/>
    <w:rsid w:val="0059251C"/>
    <w:rsid w:val="00592BDB"/>
    <w:rsid w:val="00592C4B"/>
    <w:rsid w:val="00593947"/>
    <w:rsid w:val="00593A28"/>
    <w:rsid w:val="005941D8"/>
    <w:rsid w:val="00594290"/>
    <w:rsid w:val="00594309"/>
    <w:rsid w:val="005943C7"/>
    <w:rsid w:val="00594501"/>
    <w:rsid w:val="0059488E"/>
    <w:rsid w:val="00594DE4"/>
    <w:rsid w:val="00595FAC"/>
    <w:rsid w:val="00596EB4"/>
    <w:rsid w:val="00597CA7"/>
    <w:rsid w:val="005A174D"/>
    <w:rsid w:val="005A20E4"/>
    <w:rsid w:val="005A26EB"/>
    <w:rsid w:val="005A2CB8"/>
    <w:rsid w:val="005A2DF9"/>
    <w:rsid w:val="005A37DB"/>
    <w:rsid w:val="005A3A31"/>
    <w:rsid w:val="005A4404"/>
    <w:rsid w:val="005A4671"/>
    <w:rsid w:val="005A530E"/>
    <w:rsid w:val="005A5628"/>
    <w:rsid w:val="005A5ABF"/>
    <w:rsid w:val="005A5F9C"/>
    <w:rsid w:val="005B0046"/>
    <w:rsid w:val="005B0E4F"/>
    <w:rsid w:val="005B0FA7"/>
    <w:rsid w:val="005B18B2"/>
    <w:rsid w:val="005B1AD8"/>
    <w:rsid w:val="005B2061"/>
    <w:rsid w:val="005B21D0"/>
    <w:rsid w:val="005B22D2"/>
    <w:rsid w:val="005B29A2"/>
    <w:rsid w:val="005B4564"/>
    <w:rsid w:val="005B76CE"/>
    <w:rsid w:val="005B7C21"/>
    <w:rsid w:val="005C0690"/>
    <w:rsid w:val="005C3710"/>
    <w:rsid w:val="005C4354"/>
    <w:rsid w:val="005C464A"/>
    <w:rsid w:val="005C6455"/>
    <w:rsid w:val="005C68FD"/>
    <w:rsid w:val="005C7B92"/>
    <w:rsid w:val="005D0413"/>
    <w:rsid w:val="005D1786"/>
    <w:rsid w:val="005D1A57"/>
    <w:rsid w:val="005D1E59"/>
    <w:rsid w:val="005D2A8E"/>
    <w:rsid w:val="005D3475"/>
    <w:rsid w:val="005D43F0"/>
    <w:rsid w:val="005D766F"/>
    <w:rsid w:val="005D795C"/>
    <w:rsid w:val="005D7CF4"/>
    <w:rsid w:val="005E063D"/>
    <w:rsid w:val="005E0D6B"/>
    <w:rsid w:val="005E19E7"/>
    <w:rsid w:val="005E2265"/>
    <w:rsid w:val="005E385D"/>
    <w:rsid w:val="005E3BA1"/>
    <w:rsid w:val="005E424E"/>
    <w:rsid w:val="005E5680"/>
    <w:rsid w:val="005E71FA"/>
    <w:rsid w:val="005F0D24"/>
    <w:rsid w:val="005F0F88"/>
    <w:rsid w:val="005F106C"/>
    <w:rsid w:val="005F1C48"/>
    <w:rsid w:val="005F2666"/>
    <w:rsid w:val="005F2984"/>
    <w:rsid w:val="005F33D6"/>
    <w:rsid w:val="005F397A"/>
    <w:rsid w:val="005F3F84"/>
    <w:rsid w:val="005F59E7"/>
    <w:rsid w:val="005F7140"/>
    <w:rsid w:val="005F7A1C"/>
    <w:rsid w:val="0060061C"/>
    <w:rsid w:val="00602591"/>
    <w:rsid w:val="00603422"/>
    <w:rsid w:val="0060434D"/>
    <w:rsid w:val="00604888"/>
    <w:rsid w:val="00604B53"/>
    <w:rsid w:val="00605545"/>
    <w:rsid w:val="0060638E"/>
    <w:rsid w:val="00607B96"/>
    <w:rsid w:val="006101A5"/>
    <w:rsid w:val="00610BFF"/>
    <w:rsid w:val="00611DDD"/>
    <w:rsid w:val="00612FA4"/>
    <w:rsid w:val="00613A23"/>
    <w:rsid w:val="0061483A"/>
    <w:rsid w:val="00614A76"/>
    <w:rsid w:val="006156CC"/>
    <w:rsid w:val="006157C0"/>
    <w:rsid w:val="0061600E"/>
    <w:rsid w:val="00616621"/>
    <w:rsid w:val="00620932"/>
    <w:rsid w:val="006215A7"/>
    <w:rsid w:val="00622580"/>
    <w:rsid w:val="006241F1"/>
    <w:rsid w:val="006242FB"/>
    <w:rsid w:val="00624831"/>
    <w:rsid w:val="00624FC5"/>
    <w:rsid w:val="00626CCD"/>
    <w:rsid w:val="006271A4"/>
    <w:rsid w:val="0062742E"/>
    <w:rsid w:val="00627EAF"/>
    <w:rsid w:val="00630BF9"/>
    <w:rsid w:val="00630E1E"/>
    <w:rsid w:val="00631780"/>
    <w:rsid w:val="006325C4"/>
    <w:rsid w:val="00632DCE"/>
    <w:rsid w:val="00633128"/>
    <w:rsid w:val="0063350C"/>
    <w:rsid w:val="00633A66"/>
    <w:rsid w:val="00635059"/>
    <w:rsid w:val="0063572A"/>
    <w:rsid w:val="006358B2"/>
    <w:rsid w:val="006408CE"/>
    <w:rsid w:val="00642384"/>
    <w:rsid w:val="00643510"/>
    <w:rsid w:val="0064355D"/>
    <w:rsid w:val="00644145"/>
    <w:rsid w:val="006447B8"/>
    <w:rsid w:val="006458AB"/>
    <w:rsid w:val="00647A3D"/>
    <w:rsid w:val="00650B75"/>
    <w:rsid w:val="00653F61"/>
    <w:rsid w:val="006541BF"/>
    <w:rsid w:val="00655D1E"/>
    <w:rsid w:val="0065663F"/>
    <w:rsid w:val="00656ACF"/>
    <w:rsid w:val="00661120"/>
    <w:rsid w:val="00661343"/>
    <w:rsid w:val="006629FC"/>
    <w:rsid w:val="006646DA"/>
    <w:rsid w:val="0066562C"/>
    <w:rsid w:val="00667C1B"/>
    <w:rsid w:val="00671651"/>
    <w:rsid w:val="0067165D"/>
    <w:rsid w:val="00671866"/>
    <w:rsid w:val="0067190A"/>
    <w:rsid w:val="006720E6"/>
    <w:rsid w:val="00672D17"/>
    <w:rsid w:val="00673892"/>
    <w:rsid w:val="00673B72"/>
    <w:rsid w:val="00674ADF"/>
    <w:rsid w:val="006805DE"/>
    <w:rsid w:val="0068090D"/>
    <w:rsid w:val="00680D26"/>
    <w:rsid w:val="006814DD"/>
    <w:rsid w:val="00684E22"/>
    <w:rsid w:val="00685A90"/>
    <w:rsid w:val="00686A99"/>
    <w:rsid w:val="00690630"/>
    <w:rsid w:val="00690AE3"/>
    <w:rsid w:val="0069243B"/>
    <w:rsid w:val="006924CD"/>
    <w:rsid w:val="00692B4A"/>
    <w:rsid w:val="006943BC"/>
    <w:rsid w:val="00695DE9"/>
    <w:rsid w:val="0069740E"/>
    <w:rsid w:val="00697DDC"/>
    <w:rsid w:val="006A01DD"/>
    <w:rsid w:val="006A0B12"/>
    <w:rsid w:val="006A1EDA"/>
    <w:rsid w:val="006A30C3"/>
    <w:rsid w:val="006A4224"/>
    <w:rsid w:val="006A4A1E"/>
    <w:rsid w:val="006A4BDD"/>
    <w:rsid w:val="006A721B"/>
    <w:rsid w:val="006A74CC"/>
    <w:rsid w:val="006B1742"/>
    <w:rsid w:val="006B3CFE"/>
    <w:rsid w:val="006B4066"/>
    <w:rsid w:val="006B40BA"/>
    <w:rsid w:val="006B47C7"/>
    <w:rsid w:val="006B7729"/>
    <w:rsid w:val="006B7893"/>
    <w:rsid w:val="006C1BD3"/>
    <w:rsid w:val="006C1D67"/>
    <w:rsid w:val="006C2DB5"/>
    <w:rsid w:val="006C34EA"/>
    <w:rsid w:val="006C4CE0"/>
    <w:rsid w:val="006C5223"/>
    <w:rsid w:val="006C568F"/>
    <w:rsid w:val="006C5823"/>
    <w:rsid w:val="006C6F98"/>
    <w:rsid w:val="006C7820"/>
    <w:rsid w:val="006D0A50"/>
    <w:rsid w:val="006D456B"/>
    <w:rsid w:val="006D52EB"/>
    <w:rsid w:val="006D7F10"/>
    <w:rsid w:val="006E0C33"/>
    <w:rsid w:val="006E0EDF"/>
    <w:rsid w:val="006E1088"/>
    <w:rsid w:val="006E2045"/>
    <w:rsid w:val="006E32F3"/>
    <w:rsid w:val="006E4797"/>
    <w:rsid w:val="006E7A1F"/>
    <w:rsid w:val="006E7C5F"/>
    <w:rsid w:val="006F0390"/>
    <w:rsid w:val="006F0D6F"/>
    <w:rsid w:val="006F13A4"/>
    <w:rsid w:val="006F13DF"/>
    <w:rsid w:val="006F15C5"/>
    <w:rsid w:val="006F1F9B"/>
    <w:rsid w:val="006F2928"/>
    <w:rsid w:val="006F2DF9"/>
    <w:rsid w:val="006F300C"/>
    <w:rsid w:val="006F32C6"/>
    <w:rsid w:val="006F4A8F"/>
    <w:rsid w:val="006F702E"/>
    <w:rsid w:val="006F7687"/>
    <w:rsid w:val="00700C3C"/>
    <w:rsid w:val="00700E83"/>
    <w:rsid w:val="00702426"/>
    <w:rsid w:val="007039B6"/>
    <w:rsid w:val="007054BC"/>
    <w:rsid w:val="0070551F"/>
    <w:rsid w:val="00705934"/>
    <w:rsid w:val="007059CE"/>
    <w:rsid w:val="0071045E"/>
    <w:rsid w:val="00711667"/>
    <w:rsid w:val="00713347"/>
    <w:rsid w:val="00713C3E"/>
    <w:rsid w:val="007143CF"/>
    <w:rsid w:val="007144D4"/>
    <w:rsid w:val="00714813"/>
    <w:rsid w:val="00714B81"/>
    <w:rsid w:val="00716928"/>
    <w:rsid w:val="007175ED"/>
    <w:rsid w:val="00720807"/>
    <w:rsid w:val="00720896"/>
    <w:rsid w:val="00722852"/>
    <w:rsid w:val="00723192"/>
    <w:rsid w:val="00723CBD"/>
    <w:rsid w:val="00723E14"/>
    <w:rsid w:val="007259B4"/>
    <w:rsid w:val="007263EA"/>
    <w:rsid w:val="00726F9C"/>
    <w:rsid w:val="00727937"/>
    <w:rsid w:val="00731C85"/>
    <w:rsid w:val="00732B44"/>
    <w:rsid w:val="00732FD6"/>
    <w:rsid w:val="00733069"/>
    <w:rsid w:val="00733B5A"/>
    <w:rsid w:val="0073490D"/>
    <w:rsid w:val="007351DB"/>
    <w:rsid w:val="00735C29"/>
    <w:rsid w:val="007405A3"/>
    <w:rsid w:val="00740AAC"/>
    <w:rsid w:val="00741038"/>
    <w:rsid w:val="00742758"/>
    <w:rsid w:val="00742EE4"/>
    <w:rsid w:val="00743A0D"/>
    <w:rsid w:val="007443FF"/>
    <w:rsid w:val="00744460"/>
    <w:rsid w:val="0074493F"/>
    <w:rsid w:val="00745165"/>
    <w:rsid w:val="007469E2"/>
    <w:rsid w:val="0075053A"/>
    <w:rsid w:val="007509D1"/>
    <w:rsid w:val="00751372"/>
    <w:rsid w:val="00751E92"/>
    <w:rsid w:val="007563D6"/>
    <w:rsid w:val="007619AF"/>
    <w:rsid w:val="00762DE2"/>
    <w:rsid w:val="007636C1"/>
    <w:rsid w:val="007637D9"/>
    <w:rsid w:val="00764ADC"/>
    <w:rsid w:val="00766AC4"/>
    <w:rsid w:val="007679D9"/>
    <w:rsid w:val="00767DFF"/>
    <w:rsid w:val="00771585"/>
    <w:rsid w:val="00771EC7"/>
    <w:rsid w:val="00773408"/>
    <w:rsid w:val="0077352E"/>
    <w:rsid w:val="007744B3"/>
    <w:rsid w:val="007748C6"/>
    <w:rsid w:val="007779F4"/>
    <w:rsid w:val="00777AA8"/>
    <w:rsid w:val="00781882"/>
    <w:rsid w:val="007854F8"/>
    <w:rsid w:val="007869AB"/>
    <w:rsid w:val="00786FB9"/>
    <w:rsid w:val="00787956"/>
    <w:rsid w:val="00787ACB"/>
    <w:rsid w:val="00790360"/>
    <w:rsid w:val="00790830"/>
    <w:rsid w:val="00790886"/>
    <w:rsid w:val="00791B90"/>
    <w:rsid w:val="00791C75"/>
    <w:rsid w:val="00792230"/>
    <w:rsid w:val="00792278"/>
    <w:rsid w:val="00792383"/>
    <w:rsid w:val="0079429E"/>
    <w:rsid w:val="00794D3B"/>
    <w:rsid w:val="0079518E"/>
    <w:rsid w:val="00796E97"/>
    <w:rsid w:val="00797347"/>
    <w:rsid w:val="0079772E"/>
    <w:rsid w:val="00797D93"/>
    <w:rsid w:val="007A012B"/>
    <w:rsid w:val="007A1256"/>
    <w:rsid w:val="007A1B6D"/>
    <w:rsid w:val="007A3763"/>
    <w:rsid w:val="007A43B2"/>
    <w:rsid w:val="007A4717"/>
    <w:rsid w:val="007A5E40"/>
    <w:rsid w:val="007A70FD"/>
    <w:rsid w:val="007B204E"/>
    <w:rsid w:val="007B2B42"/>
    <w:rsid w:val="007B341E"/>
    <w:rsid w:val="007B36D3"/>
    <w:rsid w:val="007B5FA9"/>
    <w:rsid w:val="007B6D35"/>
    <w:rsid w:val="007B6D77"/>
    <w:rsid w:val="007C081B"/>
    <w:rsid w:val="007C1D06"/>
    <w:rsid w:val="007C2450"/>
    <w:rsid w:val="007C32AC"/>
    <w:rsid w:val="007C3414"/>
    <w:rsid w:val="007C3BD0"/>
    <w:rsid w:val="007C6B22"/>
    <w:rsid w:val="007C6C93"/>
    <w:rsid w:val="007C6CDF"/>
    <w:rsid w:val="007D1B01"/>
    <w:rsid w:val="007D1F06"/>
    <w:rsid w:val="007D390A"/>
    <w:rsid w:val="007D458C"/>
    <w:rsid w:val="007D49D8"/>
    <w:rsid w:val="007D4D5B"/>
    <w:rsid w:val="007D542F"/>
    <w:rsid w:val="007D6488"/>
    <w:rsid w:val="007D6B03"/>
    <w:rsid w:val="007E04B8"/>
    <w:rsid w:val="007E0643"/>
    <w:rsid w:val="007E34D7"/>
    <w:rsid w:val="007E5326"/>
    <w:rsid w:val="007E58AB"/>
    <w:rsid w:val="007E5F1B"/>
    <w:rsid w:val="007E66E8"/>
    <w:rsid w:val="007E68B2"/>
    <w:rsid w:val="007E7373"/>
    <w:rsid w:val="007E7552"/>
    <w:rsid w:val="007F0FAF"/>
    <w:rsid w:val="007F2A44"/>
    <w:rsid w:val="007F32DD"/>
    <w:rsid w:val="007F3D59"/>
    <w:rsid w:val="007F5A95"/>
    <w:rsid w:val="007F68DE"/>
    <w:rsid w:val="007F7C85"/>
    <w:rsid w:val="007F7CFB"/>
    <w:rsid w:val="007F7E6D"/>
    <w:rsid w:val="007F7F51"/>
    <w:rsid w:val="008002B4"/>
    <w:rsid w:val="008009AE"/>
    <w:rsid w:val="00801721"/>
    <w:rsid w:val="00801801"/>
    <w:rsid w:val="008041DB"/>
    <w:rsid w:val="008043BD"/>
    <w:rsid w:val="008043C4"/>
    <w:rsid w:val="00804A84"/>
    <w:rsid w:val="00805125"/>
    <w:rsid w:val="00805EDA"/>
    <w:rsid w:val="00807EA8"/>
    <w:rsid w:val="00807F87"/>
    <w:rsid w:val="00811830"/>
    <w:rsid w:val="00811DB0"/>
    <w:rsid w:val="0081653A"/>
    <w:rsid w:val="0082043F"/>
    <w:rsid w:val="00822A6F"/>
    <w:rsid w:val="0082478E"/>
    <w:rsid w:val="0082665B"/>
    <w:rsid w:val="008277FB"/>
    <w:rsid w:val="00827BBA"/>
    <w:rsid w:val="00830360"/>
    <w:rsid w:val="00831395"/>
    <w:rsid w:val="008326C7"/>
    <w:rsid w:val="00832C46"/>
    <w:rsid w:val="00832E0E"/>
    <w:rsid w:val="008348FF"/>
    <w:rsid w:val="00834A05"/>
    <w:rsid w:val="00834F3A"/>
    <w:rsid w:val="00835658"/>
    <w:rsid w:val="008367E1"/>
    <w:rsid w:val="0083788A"/>
    <w:rsid w:val="00840935"/>
    <w:rsid w:val="00842A39"/>
    <w:rsid w:val="00844017"/>
    <w:rsid w:val="00844EAF"/>
    <w:rsid w:val="00845168"/>
    <w:rsid w:val="008452AE"/>
    <w:rsid w:val="00846838"/>
    <w:rsid w:val="00846D2E"/>
    <w:rsid w:val="00847B1D"/>
    <w:rsid w:val="00851643"/>
    <w:rsid w:val="00851A3E"/>
    <w:rsid w:val="008527D4"/>
    <w:rsid w:val="008532F4"/>
    <w:rsid w:val="0085379B"/>
    <w:rsid w:val="008539C7"/>
    <w:rsid w:val="0085406C"/>
    <w:rsid w:val="00854E02"/>
    <w:rsid w:val="00855670"/>
    <w:rsid w:val="00855995"/>
    <w:rsid w:val="00855F37"/>
    <w:rsid w:val="00856EF9"/>
    <w:rsid w:val="008576B8"/>
    <w:rsid w:val="00857F23"/>
    <w:rsid w:val="00860B70"/>
    <w:rsid w:val="0086142B"/>
    <w:rsid w:val="008620FD"/>
    <w:rsid w:val="008623A9"/>
    <w:rsid w:val="00862811"/>
    <w:rsid w:val="00863127"/>
    <w:rsid w:val="0086354F"/>
    <w:rsid w:val="00864880"/>
    <w:rsid w:val="008654FA"/>
    <w:rsid w:val="00865EA2"/>
    <w:rsid w:val="00866372"/>
    <w:rsid w:val="00871058"/>
    <w:rsid w:val="00872BC9"/>
    <w:rsid w:val="008733FE"/>
    <w:rsid w:val="00873BA8"/>
    <w:rsid w:val="00874A11"/>
    <w:rsid w:val="00875952"/>
    <w:rsid w:val="00876AA9"/>
    <w:rsid w:val="00880AE6"/>
    <w:rsid w:val="00881D3B"/>
    <w:rsid w:val="00883224"/>
    <w:rsid w:val="0088390B"/>
    <w:rsid w:val="008840A3"/>
    <w:rsid w:val="00884F37"/>
    <w:rsid w:val="00885175"/>
    <w:rsid w:val="008854F3"/>
    <w:rsid w:val="008862A6"/>
    <w:rsid w:val="00886BDC"/>
    <w:rsid w:val="00886C99"/>
    <w:rsid w:val="0088774E"/>
    <w:rsid w:val="00887FA0"/>
    <w:rsid w:val="00890ABE"/>
    <w:rsid w:val="00890FA4"/>
    <w:rsid w:val="00891038"/>
    <w:rsid w:val="008914B8"/>
    <w:rsid w:val="00892389"/>
    <w:rsid w:val="008939EE"/>
    <w:rsid w:val="0089491B"/>
    <w:rsid w:val="008949AC"/>
    <w:rsid w:val="008950FC"/>
    <w:rsid w:val="00895423"/>
    <w:rsid w:val="00896612"/>
    <w:rsid w:val="00897B7E"/>
    <w:rsid w:val="00897D38"/>
    <w:rsid w:val="008A0263"/>
    <w:rsid w:val="008A4E3E"/>
    <w:rsid w:val="008A4FF4"/>
    <w:rsid w:val="008A59E9"/>
    <w:rsid w:val="008A6236"/>
    <w:rsid w:val="008A6469"/>
    <w:rsid w:val="008A6EC6"/>
    <w:rsid w:val="008A7D34"/>
    <w:rsid w:val="008B0982"/>
    <w:rsid w:val="008B332E"/>
    <w:rsid w:val="008B3624"/>
    <w:rsid w:val="008B3BBC"/>
    <w:rsid w:val="008B3C8E"/>
    <w:rsid w:val="008B4118"/>
    <w:rsid w:val="008B42DB"/>
    <w:rsid w:val="008B5D21"/>
    <w:rsid w:val="008B6470"/>
    <w:rsid w:val="008B760E"/>
    <w:rsid w:val="008C4CBD"/>
    <w:rsid w:val="008C50F1"/>
    <w:rsid w:val="008D13F4"/>
    <w:rsid w:val="008D1B8C"/>
    <w:rsid w:val="008D22BB"/>
    <w:rsid w:val="008D6127"/>
    <w:rsid w:val="008D645B"/>
    <w:rsid w:val="008E070E"/>
    <w:rsid w:val="008E0977"/>
    <w:rsid w:val="008E1B7F"/>
    <w:rsid w:val="008E1CFE"/>
    <w:rsid w:val="008E3BCD"/>
    <w:rsid w:val="008E3F49"/>
    <w:rsid w:val="008E40B7"/>
    <w:rsid w:val="008E6B8D"/>
    <w:rsid w:val="008E6F7F"/>
    <w:rsid w:val="008F02C9"/>
    <w:rsid w:val="008F070B"/>
    <w:rsid w:val="008F1D68"/>
    <w:rsid w:val="008F3798"/>
    <w:rsid w:val="008F50FE"/>
    <w:rsid w:val="008F630E"/>
    <w:rsid w:val="008F675A"/>
    <w:rsid w:val="008F6D66"/>
    <w:rsid w:val="008F7CDF"/>
    <w:rsid w:val="009012AF"/>
    <w:rsid w:val="009017AA"/>
    <w:rsid w:val="00901DE7"/>
    <w:rsid w:val="00902427"/>
    <w:rsid w:val="009049B7"/>
    <w:rsid w:val="00904A71"/>
    <w:rsid w:val="00904EE7"/>
    <w:rsid w:val="0090516C"/>
    <w:rsid w:val="00906E58"/>
    <w:rsid w:val="00907FC8"/>
    <w:rsid w:val="009100A7"/>
    <w:rsid w:val="009100B3"/>
    <w:rsid w:val="00910105"/>
    <w:rsid w:val="009113E8"/>
    <w:rsid w:val="00911694"/>
    <w:rsid w:val="00911BB9"/>
    <w:rsid w:val="00912482"/>
    <w:rsid w:val="00914E95"/>
    <w:rsid w:val="00915888"/>
    <w:rsid w:val="009177B1"/>
    <w:rsid w:val="00921B24"/>
    <w:rsid w:val="00923C2E"/>
    <w:rsid w:val="009258E6"/>
    <w:rsid w:val="00926286"/>
    <w:rsid w:val="00926BFC"/>
    <w:rsid w:val="00926FEA"/>
    <w:rsid w:val="009271F2"/>
    <w:rsid w:val="00930368"/>
    <w:rsid w:val="00930A0F"/>
    <w:rsid w:val="00931E0B"/>
    <w:rsid w:val="009337B3"/>
    <w:rsid w:val="00933F6F"/>
    <w:rsid w:val="00934C39"/>
    <w:rsid w:val="00935411"/>
    <w:rsid w:val="0093644F"/>
    <w:rsid w:val="00942A89"/>
    <w:rsid w:val="00942B63"/>
    <w:rsid w:val="00942B95"/>
    <w:rsid w:val="00944830"/>
    <w:rsid w:val="00944D8A"/>
    <w:rsid w:val="00944E1B"/>
    <w:rsid w:val="009467D5"/>
    <w:rsid w:val="009479A6"/>
    <w:rsid w:val="00947A2E"/>
    <w:rsid w:val="00950835"/>
    <w:rsid w:val="00951D37"/>
    <w:rsid w:val="0095247F"/>
    <w:rsid w:val="00952B0D"/>
    <w:rsid w:val="00952BC2"/>
    <w:rsid w:val="0095314B"/>
    <w:rsid w:val="00953329"/>
    <w:rsid w:val="00953751"/>
    <w:rsid w:val="00953880"/>
    <w:rsid w:val="00954439"/>
    <w:rsid w:val="00954AC2"/>
    <w:rsid w:val="009552D6"/>
    <w:rsid w:val="00955ACC"/>
    <w:rsid w:val="00955B0F"/>
    <w:rsid w:val="00955FEA"/>
    <w:rsid w:val="00956C13"/>
    <w:rsid w:val="009576F6"/>
    <w:rsid w:val="0095789A"/>
    <w:rsid w:val="00957AAF"/>
    <w:rsid w:val="00961D5E"/>
    <w:rsid w:val="00963124"/>
    <w:rsid w:val="009650E1"/>
    <w:rsid w:val="00965193"/>
    <w:rsid w:val="00965B24"/>
    <w:rsid w:val="00966F91"/>
    <w:rsid w:val="00970978"/>
    <w:rsid w:val="00972FAA"/>
    <w:rsid w:val="00973EC2"/>
    <w:rsid w:val="009747EE"/>
    <w:rsid w:val="00975080"/>
    <w:rsid w:val="00975283"/>
    <w:rsid w:val="0097563E"/>
    <w:rsid w:val="009757DC"/>
    <w:rsid w:val="00976781"/>
    <w:rsid w:val="00976BCC"/>
    <w:rsid w:val="00980362"/>
    <w:rsid w:val="00980514"/>
    <w:rsid w:val="00981933"/>
    <w:rsid w:val="00981952"/>
    <w:rsid w:val="00981BC0"/>
    <w:rsid w:val="009820C3"/>
    <w:rsid w:val="00984278"/>
    <w:rsid w:val="0098445D"/>
    <w:rsid w:val="00984CA2"/>
    <w:rsid w:val="00984E8A"/>
    <w:rsid w:val="00985946"/>
    <w:rsid w:val="0098686B"/>
    <w:rsid w:val="00986F93"/>
    <w:rsid w:val="00987129"/>
    <w:rsid w:val="00987665"/>
    <w:rsid w:val="00987D40"/>
    <w:rsid w:val="0099017E"/>
    <w:rsid w:val="00990A46"/>
    <w:rsid w:val="00990B27"/>
    <w:rsid w:val="00990D6B"/>
    <w:rsid w:val="00992E77"/>
    <w:rsid w:val="009938C5"/>
    <w:rsid w:val="00994602"/>
    <w:rsid w:val="00994E46"/>
    <w:rsid w:val="00995CC6"/>
    <w:rsid w:val="00995FCE"/>
    <w:rsid w:val="009977FF"/>
    <w:rsid w:val="009A0FF0"/>
    <w:rsid w:val="009A1123"/>
    <w:rsid w:val="009A213F"/>
    <w:rsid w:val="009A25AB"/>
    <w:rsid w:val="009A42F8"/>
    <w:rsid w:val="009A470E"/>
    <w:rsid w:val="009A495C"/>
    <w:rsid w:val="009A5468"/>
    <w:rsid w:val="009B0E64"/>
    <w:rsid w:val="009B0FFD"/>
    <w:rsid w:val="009B21AE"/>
    <w:rsid w:val="009B2C4A"/>
    <w:rsid w:val="009B4632"/>
    <w:rsid w:val="009B536F"/>
    <w:rsid w:val="009B6394"/>
    <w:rsid w:val="009C0A22"/>
    <w:rsid w:val="009C2A10"/>
    <w:rsid w:val="009C3DB9"/>
    <w:rsid w:val="009C45BF"/>
    <w:rsid w:val="009C46D1"/>
    <w:rsid w:val="009C4846"/>
    <w:rsid w:val="009C4EE3"/>
    <w:rsid w:val="009C7FA8"/>
    <w:rsid w:val="009D07E7"/>
    <w:rsid w:val="009D0B65"/>
    <w:rsid w:val="009D113A"/>
    <w:rsid w:val="009D195C"/>
    <w:rsid w:val="009D19B4"/>
    <w:rsid w:val="009D235C"/>
    <w:rsid w:val="009E028D"/>
    <w:rsid w:val="009E0CE5"/>
    <w:rsid w:val="009E1BC0"/>
    <w:rsid w:val="009E377C"/>
    <w:rsid w:val="009E3EBF"/>
    <w:rsid w:val="009E5121"/>
    <w:rsid w:val="009E6A4A"/>
    <w:rsid w:val="009E6E27"/>
    <w:rsid w:val="009F0C68"/>
    <w:rsid w:val="009F1491"/>
    <w:rsid w:val="009F3883"/>
    <w:rsid w:val="009F3B17"/>
    <w:rsid w:val="009F48EF"/>
    <w:rsid w:val="009F5BA1"/>
    <w:rsid w:val="009F5C04"/>
    <w:rsid w:val="009F6482"/>
    <w:rsid w:val="009F68A1"/>
    <w:rsid w:val="009F6E64"/>
    <w:rsid w:val="009F79B4"/>
    <w:rsid w:val="00A008C6"/>
    <w:rsid w:val="00A01A08"/>
    <w:rsid w:val="00A01D21"/>
    <w:rsid w:val="00A02630"/>
    <w:rsid w:val="00A02AF7"/>
    <w:rsid w:val="00A02DE1"/>
    <w:rsid w:val="00A0361F"/>
    <w:rsid w:val="00A03637"/>
    <w:rsid w:val="00A04CD4"/>
    <w:rsid w:val="00A078EF"/>
    <w:rsid w:val="00A07ED0"/>
    <w:rsid w:val="00A1346A"/>
    <w:rsid w:val="00A13565"/>
    <w:rsid w:val="00A136A4"/>
    <w:rsid w:val="00A1480A"/>
    <w:rsid w:val="00A1593D"/>
    <w:rsid w:val="00A15B92"/>
    <w:rsid w:val="00A16C00"/>
    <w:rsid w:val="00A17569"/>
    <w:rsid w:val="00A21BF1"/>
    <w:rsid w:val="00A2266E"/>
    <w:rsid w:val="00A228BC"/>
    <w:rsid w:val="00A24D32"/>
    <w:rsid w:val="00A25AAA"/>
    <w:rsid w:val="00A26019"/>
    <w:rsid w:val="00A264F4"/>
    <w:rsid w:val="00A26688"/>
    <w:rsid w:val="00A2675B"/>
    <w:rsid w:val="00A26E75"/>
    <w:rsid w:val="00A27235"/>
    <w:rsid w:val="00A32253"/>
    <w:rsid w:val="00A32E58"/>
    <w:rsid w:val="00A33FC2"/>
    <w:rsid w:val="00A347D1"/>
    <w:rsid w:val="00A34B29"/>
    <w:rsid w:val="00A34C9D"/>
    <w:rsid w:val="00A34D96"/>
    <w:rsid w:val="00A34E57"/>
    <w:rsid w:val="00A35C26"/>
    <w:rsid w:val="00A35E7B"/>
    <w:rsid w:val="00A3656B"/>
    <w:rsid w:val="00A409F9"/>
    <w:rsid w:val="00A4123B"/>
    <w:rsid w:val="00A41F72"/>
    <w:rsid w:val="00A42497"/>
    <w:rsid w:val="00A437EA"/>
    <w:rsid w:val="00A45671"/>
    <w:rsid w:val="00A4721A"/>
    <w:rsid w:val="00A5083D"/>
    <w:rsid w:val="00A529F2"/>
    <w:rsid w:val="00A52B1D"/>
    <w:rsid w:val="00A5450C"/>
    <w:rsid w:val="00A55929"/>
    <w:rsid w:val="00A5668C"/>
    <w:rsid w:val="00A56C6B"/>
    <w:rsid w:val="00A6337C"/>
    <w:rsid w:val="00A63F98"/>
    <w:rsid w:val="00A64337"/>
    <w:rsid w:val="00A6481E"/>
    <w:rsid w:val="00A648E6"/>
    <w:rsid w:val="00A64FCA"/>
    <w:rsid w:val="00A657FD"/>
    <w:rsid w:val="00A659D4"/>
    <w:rsid w:val="00A65C36"/>
    <w:rsid w:val="00A7071D"/>
    <w:rsid w:val="00A70D1C"/>
    <w:rsid w:val="00A70E60"/>
    <w:rsid w:val="00A7173E"/>
    <w:rsid w:val="00A72992"/>
    <w:rsid w:val="00A72D42"/>
    <w:rsid w:val="00A73C8E"/>
    <w:rsid w:val="00A73DC4"/>
    <w:rsid w:val="00A74C06"/>
    <w:rsid w:val="00A758BA"/>
    <w:rsid w:val="00A759B8"/>
    <w:rsid w:val="00A763E7"/>
    <w:rsid w:val="00A771CE"/>
    <w:rsid w:val="00A77705"/>
    <w:rsid w:val="00A77969"/>
    <w:rsid w:val="00A8118D"/>
    <w:rsid w:val="00A820BA"/>
    <w:rsid w:val="00A82DC1"/>
    <w:rsid w:val="00A83E2A"/>
    <w:rsid w:val="00A85F7E"/>
    <w:rsid w:val="00A9003E"/>
    <w:rsid w:val="00A911B1"/>
    <w:rsid w:val="00A91324"/>
    <w:rsid w:val="00A9262E"/>
    <w:rsid w:val="00A96C56"/>
    <w:rsid w:val="00A97E14"/>
    <w:rsid w:val="00A97FAF"/>
    <w:rsid w:val="00AA2A72"/>
    <w:rsid w:val="00AA3C68"/>
    <w:rsid w:val="00AA3EA1"/>
    <w:rsid w:val="00AA489C"/>
    <w:rsid w:val="00AA62E7"/>
    <w:rsid w:val="00AA632B"/>
    <w:rsid w:val="00AA731D"/>
    <w:rsid w:val="00AB05B6"/>
    <w:rsid w:val="00AB14DE"/>
    <w:rsid w:val="00AB4C73"/>
    <w:rsid w:val="00AB4D26"/>
    <w:rsid w:val="00AB54DA"/>
    <w:rsid w:val="00AB5893"/>
    <w:rsid w:val="00AB642F"/>
    <w:rsid w:val="00AB67E2"/>
    <w:rsid w:val="00AB6D67"/>
    <w:rsid w:val="00AC0C04"/>
    <w:rsid w:val="00AC0CA7"/>
    <w:rsid w:val="00AC0E3B"/>
    <w:rsid w:val="00AC19CE"/>
    <w:rsid w:val="00AC462A"/>
    <w:rsid w:val="00AC655D"/>
    <w:rsid w:val="00AC6D1B"/>
    <w:rsid w:val="00AC74F0"/>
    <w:rsid w:val="00AD047A"/>
    <w:rsid w:val="00AD05F7"/>
    <w:rsid w:val="00AD0BE4"/>
    <w:rsid w:val="00AD0BFB"/>
    <w:rsid w:val="00AD1624"/>
    <w:rsid w:val="00AD1EAE"/>
    <w:rsid w:val="00AD23D6"/>
    <w:rsid w:val="00AD30D1"/>
    <w:rsid w:val="00AD5EAB"/>
    <w:rsid w:val="00AD7F16"/>
    <w:rsid w:val="00AE0382"/>
    <w:rsid w:val="00AE1349"/>
    <w:rsid w:val="00AE16E9"/>
    <w:rsid w:val="00AE36C8"/>
    <w:rsid w:val="00AE4836"/>
    <w:rsid w:val="00AE52B0"/>
    <w:rsid w:val="00AE62CA"/>
    <w:rsid w:val="00AE7DAB"/>
    <w:rsid w:val="00AF29A2"/>
    <w:rsid w:val="00AF45E4"/>
    <w:rsid w:val="00AF472F"/>
    <w:rsid w:val="00AF6121"/>
    <w:rsid w:val="00AF633A"/>
    <w:rsid w:val="00AF725A"/>
    <w:rsid w:val="00B0030A"/>
    <w:rsid w:val="00B0061A"/>
    <w:rsid w:val="00B009FF"/>
    <w:rsid w:val="00B01F52"/>
    <w:rsid w:val="00B01F59"/>
    <w:rsid w:val="00B035A0"/>
    <w:rsid w:val="00B0524D"/>
    <w:rsid w:val="00B055F4"/>
    <w:rsid w:val="00B06DE2"/>
    <w:rsid w:val="00B104D3"/>
    <w:rsid w:val="00B10D7F"/>
    <w:rsid w:val="00B10E9B"/>
    <w:rsid w:val="00B110B4"/>
    <w:rsid w:val="00B11BF0"/>
    <w:rsid w:val="00B12DD0"/>
    <w:rsid w:val="00B12FBB"/>
    <w:rsid w:val="00B135EB"/>
    <w:rsid w:val="00B13DE3"/>
    <w:rsid w:val="00B144FE"/>
    <w:rsid w:val="00B1456B"/>
    <w:rsid w:val="00B145F8"/>
    <w:rsid w:val="00B14D6F"/>
    <w:rsid w:val="00B151AA"/>
    <w:rsid w:val="00B15E3B"/>
    <w:rsid w:val="00B17EAE"/>
    <w:rsid w:val="00B20E33"/>
    <w:rsid w:val="00B21942"/>
    <w:rsid w:val="00B21B9F"/>
    <w:rsid w:val="00B22EDA"/>
    <w:rsid w:val="00B230E8"/>
    <w:rsid w:val="00B2396F"/>
    <w:rsid w:val="00B23AA3"/>
    <w:rsid w:val="00B253CA"/>
    <w:rsid w:val="00B2607A"/>
    <w:rsid w:val="00B263FD"/>
    <w:rsid w:val="00B27476"/>
    <w:rsid w:val="00B27576"/>
    <w:rsid w:val="00B27E13"/>
    <w:rsid w:val="00B30AF5"/>
    <w:rsid w:val="00B3174C"/>
    <w:rsid w:val="00B33392"/>
    <w:rsid w:val="00B3364D"/>
    <w:rsid w:val="00B34812"/>
    <w:rsid w:val="00B350EF"/>
    <w:rsid w:val="00B356AB"/>
    <w:rsid w:val="00B366BC"/>
    <w:rsid w:val="00B369F2"/>
    <w:rsid w:val="00B370C2"/>
    <w:rsid w:val="00B37A25"/>
    <w:rsid w:val="00B40D1B"/>
    <w:rsid w:val="00B419EF"/>
    <w:rsid w:val="00B424ED"/>
    <w:rsid w:val="00B4368A"/>
    <w:rsid w:val="00B43E8E"/>
    <w:rsid w:val="00B441DB"/>
    <w:rsid w:val="00B466E0"/>
    <w:rsid w:val="00B47449"/>
    <w:rsid w:val="00B475A6"/>
    <w:rsid w:val="00B47D79"/>
    <w:rsid w:val="00B47E2F"/>
    <w:rsid w:val="00B5021D"/>
    <w:rsid w:val="00B5082B"/>
    <w:rsid w:val="00B513C5"/>
    <w:rsid w:val="00B51A44"/>
    <w:rsid w:val="00B53456"/>
    <w:rsid w:val="00B53EA8"/>
    <w:rsid w:val="00B53F0A"/>
    <w:rsid w:val="00B53FF7"/>
    <w:rsid w:val="00B56022"/>
    <w:rsid w:val="00B5609E"/>
    <w:rsid w:val="00B5646D"/>
    <w:rsid w:val="00B60B75"/>
    <w:rsid w:val="00B60E97"/>
    <w:rsid w:val="00B61796"/>
    <w:rsid w:val="00B62C8E"/>
    <w:rsid w:val="00B645EB"/>
    <w:rsid w:val="00B654DB"/>
    <w:rsid w:val="00B65670"/>
    <w:rsid w:val="00B65BCF"/>
    <w:rsid w:val="00B66215"/>
    <w:rsid w:val="00B66CAD"/>
    <w:rsid w:val="00B67490"/>
    <w:rsid w:val="00B67E6F"/>
    <w:rsid w:val="00B71B2E"/>
    <w:rsid w:val="00B72BA3"/>
    <w:rsid w:val="00B72CFD"/>
    <w:rsid w:val="00B7327C"/>
    <w:rsid w:val="00B73F42"/>
    <w:rsid w:val="00B75FAA"/>
    <w:rsid w:val="00B76253"/>
    <w:rsid w:val="00B76D0F"/>
    <w:rsid w:val="00B80AF4"/>
    <w:rsid w:val="00B80B6A"/>
    <w:rsid w:val="00B81BCA"/>
    <w:rsid w:val="00B82232"/>
    <w:rsid w:val="00B8385C"/>
    <w:rsid w:val="00B86E91"/>
    <w:rsid w:val="00B872B4"/>
    <w:rsid w:val="00B87E91"/>
    <w:rsid w:val="00B9009A"/>
    <w:rsid w:val="00BA2A7D"/>
    <w:rsid w:val="00BA3088"/>
    <w:rsid w:val="00BA4053"/>
    <w:rsid w:val="00BA58A8"/>
    <w:rsid w:val="00BA6405"/>
    <w:rsid w:val="00BA643D"/>
    <w:rsid w:val="00BA714F"/>
    <w:rsid w:val="00BB0EEC"/>
    <w:rsid w:val="00BB116F"/>
    <w:rsid w:val="00BB23FE"/>
    <w:rsid w:val="00BB346F"/>
    <w:rsid w:val="00BB474D"/>
    <w:rsid w:val="00BB5840"/>
    <w:rsid w:val="00BB6F6C"/>
    <w:rsid w:val="00BB74B9"/>
    <w:rsid w:val="00BB7916"/>
    <w:rsid w:val="00BB79BC"/>
    <w:rsid w:val="00BC0C94"/>
    <w:rsid w:val="00BC36A6"/>
    <w:rsid w:val="00BC5B2C"/>
    <w:rsid w:val="00BC61FC"/>
    <w:rsid w:val="00BC774A"/>
    <w:rsid w:val="00BC7C10"/>
    <w:rsid w:val="00BD0045"/>
    <w:rsid w:val="00BD0A00"/>
    <w:rsid w:val="00BD11C9"/>
    <w:rsid w:val="00BD19EB"/>
    <w:rsid w:val="00BD30A1"/>
    <w:rsid w:val="00BD4087"/>
    <w:rsid w:val="00BD414D"/>
    <w:rsid w:val="00BD4867"/>
    <w:rsid w:val="00BD4E72"/>
    <w:rsid w:val="00BD56AD"/>
    <w:rsid w:val="00BD654E"/>
    <w:rsid w:val="00BD7F00"/>
    <w:rsid w:val="00BE02BC"/>
    <w:rsid w:val="00BE2C17"/>
    <w:rsid w:val="00BE3D65"/>
    <w:rsid w:val="00BE4E1C"/>
    <w:rsid w:val="00BE5346"/>
    <w:rsid w:val="00BE5B22"/>
    <w:rsid w:val="00BE64C7"/>
    <w:rsid w:val="00BE6B41"/>
    <w:rsid w:val="00BE7DC3"/>
    <w:rsid w:val="00BF0177"/>
    <w:rsid w:val="00BF1688"/>
    <w:rsid w:val="00BF4812"/>
    <w:rsid w:val="00BF4935"/>
    <w:rsid w:val="00BF5ED1"/>
    <w:rsid w:val="00BF7696"/>
    <w:rsid w:val="00BF7766"/>
    <w:rsid w:val="00C00BFE"/>
    <w:rsid w:val="00C01A27"/>
    <w:rsid w:val="00C048A1"/>
    <w:rsid w:val="00C070D1"/>
    <w:rsid w:val="00C1069C"/>
    <w:rsid w:val="00C1385A"/>
    <w:rsid w:val="00C144AD"/>
    <w:rsid w:val="00C16106"/>
    <w:rsid w:val="00C16E78"/>
    <w:rsid w:val="00C17231"/>
    <w:rsid w:val="00C178D1"/>
    <w:rsid w:val="00C17D4A"/>
    <w:rsid w:val="00C20123"/>
    <w:rsid w:val="00C203C4"/>
    <w:rsid w:val="00C20F4F"/>
    <w:rsid w:val="00C213C1"/>
    <w:rsid w:val="00C21FC8"/>
    <w:rsid w:val="00C22951"/>
    <w:rsid w:val="00C22C99"/>
    <w:rsid w:val="00C236DE"/>
    <w:rsid w:val="00C269AD"/>
    <w:rsid w:val="00C26D2C"/>
    <w:rsid w:val="00C2759C"/>
    <w:rsid w:val="00C277FE"/>
    <w:rsid w:val="00C27CC8"/>
    <w:rsid w:val="00C309ED"/>
    <w:rsid w:val="00C30B9B"/>
    <w:rsid w:val="00C33A1D"/>
    <w:rsid w:val="00C33CD8"/>
    <w:rsid w:val="00C33E3B"/>
    <w:rsid w:val="00C34497"/>
    <w:rsid w:val="00C359C7"/>
    <w:rsid w:val="00C35C59"/>
    <w:rsid w:val="00C36041"/>
    <w:rsid w:val="00C401E7"/>
    <w:rsid w:val="00C404C9"/>
    <w:rsid w:val="00C4102C"/>
    <w:rsid w:val="00C4196A"/>
    <w:rsid w:val="00C43032"/>
    <w:rsid w:val="00C504AE"/>
    <w:rsid w:val="00C51149"/>
    <w:rsid w:val="00C51CBB"/>
    <w:rsid w:val="00C54EB6"/>
    <w:rsid w:val="00C6080F"/>
    <w:rsid w:val="00C61C90"/>
    <w:rsid w:val="00C61D65"/>
    <w:rsid w:val="00C624C8"/>
    <w:rsid w:val="00C64431"/>
    <w:rsid w:val="00C64BD2"/>
    <w:rsid w:val="00C65A32"/>
    <w:rsid w:val="00C66443"/>
    <w:rsid w:val="00C6731E"/>
    <w:rsid w:val="00C70014"/>
    <w:rsid w:val="00C7003D"/>
    <w:rsid w:val="00C71609"/>
    <w:rsid w:val="00C721F8"/>
    <w:rsid w:val="00C7240B"/>
    <w:rsid w:val="00C73037"/>
    <w:rsid w:val="00C734EC"/>
    <w:rsid w:val="00C73861"/>
    <w:rsid w:val="00C74D0F"/>
    <w:rsid w:val="00C76E19"/>
    <w:rsid w:val="00C8018C"/>
    <w:rsid w:val="00C8127E"/>
    <w:rsid w:val="00C859A3"/>
    <w:rsid w:val="00C8656D"/>
    <w:rsid w:val="00C8674F"/>
    <w:rsid w:val="00C86897"/>
    <w:rsid w:val="00C86EE1"/>
    <w:rsid w:val="00C873EA"/>
    <w:rsid w:val="00C87F37"/>
    <w:rsid w:val="00C9034C"/>
    <w:rsid w:val="00C90556"/>
    <w:rsid w:val="00C91187"/>
    <w:rsid w:val="00C9148B"/>
    <w:rsid w:val="00C933A0"/>
    <w:rsid w:val="00C93D75"/>
    <w:rsid w:val="00C9559A"/>
    <w:rsid w:val="00C95F82"/>
    <w:rsid w:val="00C97AC3"/>
    <w:rsid w:val="00CA1214"/>
    <w:rsid w:val="00CA2E0A"/>
    <w:rsid w:val="00CA2E81"/>
    <w:rsid w:val="00CA43D1"/>
    <w:rsid w:val="00CA61EB"/>
    <w:rsid w:val="00CA624D"/>
    <w:rsid w:val="00CA69E9"/>
    <w:rsid w:val="00CA7A81"/>
    <w:rsid w:val="00CB0CCE"/>
    <w:rsid w:val="00CB0D29"/>
    <w:rsid w:val="00CB13C0"/>
    <w:rsid w:val="00CB3EC8"/>
    <w:rsid w:val="00CB4201"/>
    <w:rsid w:val="00CB4C64"/>
    <w:rsid w:val="00CB55E6"/>
    <w:rsid w:val="00CB5665"/>
    <w:rsid w:val="00CB59D0"/>
    <w:rsid w:val="00CB7059"/>
    <w:rsid w:val="00CB785F"/>
    <w:rsid w:val="00CB7994"/>
    <w:rsid w:val="00CB7C3F"/>
    <w:rsid w:val="00CB7F6A"/>
    <w:rsid w:val="00CC15A6"/>
    <w:rsid w:val="00CC2626"/>
    <w:rsid w:val="00CC3235"/>
    <w:rsid w:val="00CC445E"/>
    <w:rsid w:val="00CC4DE2"/>
    <w:rsid w:val="00CC67B0"/>
    <w:rsid w:val="00CC70FB"/>
    <w:rsid w:val="00CD0BA8"/>
    <w:rsid w:val="00CD15BC"/>
    <w:rsid w:val="00CD197D"/>
    <w:rsid w:val="00CD1CED"/>
    <w:rsid w:val="00CD285E"/>
    <w:rsid w:val="00CD3257"/>
    <w:rsid w:val="00CD3420"/>
    <w:rsid w:val="00CD437E"/>
    <w:rsid w:val="00CD4C00"/>
    <w:rsid w:val="00CD50A0"/>
    <w:rsid w:val="00CD54C8"/>
    <w:rsid w:val="00CD564E"/>
    <w:rsid w:val="00CD5D8A"/>
    <w:rsid w:val="00CD5F12"/>
    <w:rsid w:val="00CD66D5"/>
    <w:rsid w:val="00CD6772"/>
    <w:rsid w:val="00CD6F0D"/>
    <w:rsid w:val="00CD752C"/>
    <w:rsid w:val="00CE0DBF"/>
    <w:rsid w:val="00CE0F41"/>
    <w:rsid w:val="00CE2511"/>
    <w:rsid w:val="00CE2E97"/>
    <w:rsid w:val="00CE3A4A"/>
    <w:rsid w:val="00CE52AC"/>
    <w:rsid w:val="00CE6015"/>
    <w:rsid w:val="00CE60F0"/>
    <w:rsid w:val="00CE62F9"/>
    <w:rsid w:val="00CE6850"/>
    <w:rsid w:val="00CE6FF3"/>
    <w:rsid w:val="00CE7B9A"/>
    <w:rsid w:val="00CF0055"/>
    <w:rsid w:val="00CF1F49"/>
    <w:rsid w:val="00CF209E"/>
    <w:rsid w:val="00CF31ED"/>
    <w:rsid w:val="00CF638D"/>
    <w:rsid w:val="00CF69A6"/>
    <w:rsid w:val="00CF7686"/>
    <w:rsid w:val="00D0068B"/>
    <w:rsid w:val="00D00CFB"/>
    <w:rsid w:val="00D0102F"/>
    <w:rsid w:val="00D02774"/>
    <w:rsid w:val="00D0346F"/>
    <w:rsid w:val="00D03ABD"/>
    <w:rsid w:val="00D03C29"/>
    <w:rsid w:val="00D0407E"/>
    <w:rsid w:val="00D04386"/>
    <w:rsid w:val="00D04A93"/>
    <w:rsid w:val="00D04B11"/>
    <w:rsid w:val="00D106C1"/>
    <w:rsid w:val="00D12257"/>
    <w:rsid w:val="00D12B5D"/>
    <w:rsid w:val="00D12EE4"/>
    <w:rsid w:val="00D12F9C"/>
    <w:rsid w:val="00D13251"/>
    <w:rsid w:val="00D13A47"/>
    <w:rsid w:val="00D14329"/>
    <w:rsid w:val="00D1488C"/>
    <w:rsid w:val="00D164FF"/>
    <w:rsid w:val="00D17B20"/>
    <w:rsid w:val="00D21125"/>
    <w:rsid w:val="00D21A6C"/>
    <w:rsid w:val="00D227AD"/>
    <w:rsid w:val="00D2299F"/>
    <w:rsid w:val="00D22A8F"/>
    <w:rsid w:val="00D23200"/>
    <w:rsid w:val="00D2339C"/>
    <w:rsid w:val="00D25C99"/>
    <w:rsid w:val="00D26872"/>
    <w:rsid w:val="00D26B02"/>
    <w:rsid w:val="00D27DA8"/>
    <w:rsid w:val="00D30708"/>
    <w:rsid w:val="00D324C4"/>
    <w:rsid w:val="00D325DC"/>
    <w:rsid w:val="00D3457C"/>
    <w:rsid w:val="00D34ACC"/>
    <w:rsid w:val="00D34D89"/>
    <w:rsid w:val="00D34DE3"/>
    <w:rsid w:val="00D353D1"/>
    <w:rsid w:val="00D37509"/>
    <w:rsid w:val="00D37E93"/>
    <w:rsid w:val="00D400FB"/>
    <w:rsid w:val="00D43E27"/>
    <w:rsid w:val="00D449F1"/>
    <w:rsid w:val="00D44A5C"/>
    <w:rsid w:val="00D45B9B"/>
    <w:rsid w:val="00D46D45"/>
    <w:rsid w:val="00D47617"/>
    <w:rsid w:val="00D476EA"/>
    <w:rsid w:val="00D4784B"/>
    <w:rsid w:val="00D47B3A"/>
    <w:rsid w:val="00D51410"/>
    <w:rsid w:val="00D518A1"/>
    <w:rsid w:val="00D51E77"/>
    <w:rsid w:val="00D5333B"/>
    <w:rsid w:val="00D53968"/>
    <w:rsid w:val="00D53BA7"/>
    <w:rsid w:val="00D53DF3"/>
    <w:rsid w:val="00D54B22"/>
    <w:rsid w:val="00D55528"/>
    <w:rsid w:val="00D565B0"/>
    <w:rsid w:val="00D57457"/>
    <w:rsid w:val="00D57E27"/>
    <w:rsid w:val="00D607F7"/>
    <w:rsid w:val="00D61C50"/>
    <w:rsid w:val="00D61EA9"/>
    <w:rsid w:val="00D62048"/>
    <w:rsid w:val="00D64C42"/>
    <w:rsid w:val="00D65240"/>
    <w:rsid w:val="00D65A0D"/>
    <w:rsid w:val="00D66045"/>
    <w:rsid w:val="00D66EE2"/>
    <w:rsid w:val="00D677F6"/>
    <w:rsid w:val="00D70478"/>
    <w:rsid w:val="00D71A4A"/>
    <w:rsid w:val="00D71FEA"/>
    <w:rsid w:val="00D73C81"/>
    <w:rsid w:val="00D74AD0"/>
    <w:rsid w:val="00D74ADF"/>
    <w:rsid w:val="00D75775"/>
    <w:rsid w:val="00D75C24"/>
    <w:rsid w:val="00D775E5"/>
    <w:rsid w:val="00D779C1"/>
    <w:rsid w:val="00D80C29"/>
    <w:rsid w:val="00D83EC7"/>
    <w:rsid w:val="00D841D8"/>
    <w:rsid w:val="00D87385"/>
    <w:rsid w:val="00D91216"/>
    <w:rsid w:val="00D915C2"/>
    <w:rsid w:val="00D91D3B"/>
    <w:rsid w:val="00D92B5C"/>
    <w:rsid w:val="00D9333D"/>
    <w:rsid w:val="00D94A79"/>
    <w:rsid w:val="00D94D7C"/>
    <w:rsid w:val="00D96110"/>
    <w:rsid w:val="00D96610"/>
    <w:rsid w:val="00DA15F9"/>
    <w:rsid w:val="00DA29B4"/>
    <w:rsid w:val="00DA542F"/>
    <w:rsid w:val="00DA543E"/>
    <w:rsid w:val="00DA57C2"/>
    <w:rsid w:val="00DB0213"/>
    <w:rsid w:val="00DB1949"/>
    <w:rsid w:val="00DB19A6"/>
    <w:rsid w:val="00DB1B3E"/>
    <w:rsid w:val="00DB2C79"/>
    <w:rsid w:val="00DB399F"/>
    <w:rsid w:val="00DB5E01"/>
    <w:rsid w:val="00DB6491"/>
    <w:rsid w:val="00DB669F"/>
    <w:rsid w:val="00DB77A6"/>
    <w:rsid w:val="00DC0E4B"/>
    <w:rsid w:val="00DC232D"/>
    <w:rsid w:val="00DC2B5E"/>
    <w:rsid w:val="00DC4135"/>
    <w:rsid w:val="00DC609C"/>
    <w:rsid w:val="00DC62DE"/>
    <w:rsid w:val="00DC6503"/>
    <w:rsid w:val="00DC65E5"/>
    <w:rsid w:val="00DC6D0F"/>
    <w:rsid w:val="00DD0600"/>
    <w:rsid w:val="00DD07FD"/>
    <w:rsid w:val="00DD0B8E"/>
    <w:rsid w:val="00DD2EAB"/>
    <w:rsid w:val="00DD3E9B"/>
    <w:rsid w:val="00DD3F76"/>
    <w:rsid w:val="00DD4034"/>
    <w:rsid w:val="00DD48BE"/>
    <w:rsid w:val="00DD49E4"/>
    <w:rsid w:val="00DD4BF1"/>
    <w:rsid w:val="00DD4C33"/>
    <w:rsid w:val="00DD52F5"/>
    <w:rsid w:val="00DD565C"/>
    <w:rsid w:val="00DD5AA1"/>
    <w:rsid w:val="00DD5F3B"/>
    <w:rsid w:val="00DD6248"/>
    <w:rsid w:val="00DD6681"/>
    <w:rsid w:val="00DD7B5F"/>
    <w:rsid w:val="00DE179F"/>
    <w:rsid w:val="00DE1D95"/>
    <w:rsid w:val="00DE2D7C"/>
    <w:rsid w:val="00DE4D96"/>
    <w:rsid w:val="00DE699B"/>
    <w:rsid w:val="00DE796C"/>
    <w:rsid w:val="00DE7BE3"/>
    <w:rsid w:val="00DF005C"/>
    <w:rsid w:val="00DF0529"/>
    <w:rsid w:val="00DF0736"/>
    <w:rsid w:val="00DF12C0"/>
    <w:rsid w:val="00DF20AB"/>
    <w:rsid w:val="00DF30DD"/>
    <w:rsid w:val="00DF3201"/>
    <w:rsid w:val="00DF3224"/>
    <w:rsid w:val="00DF3333"/>
    <w:rsid w:val="00DF388F"/>
    <w:rsid w:val="00DF551A"/>
    <w:rsid w:val="00DF5DF2"/>
    <w:rsid w:val="00DF5FA2"/>
    <w:rsid w:val="00DF6E26"/>
    <w:rsid w:val="00DF7F71"/>
    <w:rsid w:val="00E00D46"/>
    <w:rsid w:val="00E01360"/>
    <w:rsid w:val="00E0346F"/>
    <w:rsid w:val="00E03701"/>
    <w:rsid w:val="00E0377A"/>
    <w:rsid w:val="00E05913"/>
    <w:rsid w:val="00E06A31"/>
    <w:rsid w:val="00E06EF8"/>
    <w:rsid w:val="00E07D97"/>
    <w:rsid w:val="00E100D1"/>
    <w:rsid w:val="00E107A2"/>
    <w:rsid w:val="00E10B92"/>
    <w:rsid w:val="00E11129"/>
    <w:rsid w:val="00E11187"/>
    <w:rsid w:val="00E11762"/>
    <w:rsid w:val="00E121C7"/>
    <w:rsid w:val="00E1424B"/>
    <w:rsid w:val="00E15625"/>
    <w:rsid w:val="00E157CF"/>
    <w:rsid w:val="00E175A5"/>
    <w:rsid w:val="00E201D5"/>
    <w:rsid w:val="00E20CDE"/>
    <w:rsid w:val="00E2118E"/>
    <w:rsid w:val="00E2142C"/>
    <w:rsid w:val="00E2242D"/>
    <w:rsid w:val="00E23803"/>
    <w:rsid w:val="00E23C54"/>
    <w:rsid w:val="00E2505E"/>
    <w:rsid w:val="00E254CF"/>
    <w:rsid w:val="00E25D65"/>
    <w:rsid w:val="00E26DAC"/>
    <w:rsid w:val="00E2708C"/>
    <w:rsid w:val="00E27ADF"/>
    <w:rsid w:val="00E308AC"/>
    <w:rsid w:val="00E31103"/>
    <w:rsid w:val="00E312F2"/>
    <w:rsid w:val="00E314A7"/>
    <w:rsid w:val="00E31B42"/>
    <w:rsid w:val="00E31EF5"/>
    <w:rsid w:val="00E34007"/>
    <w:rsid w:val="00E34EB2"/>
    <w:rsid w:val="00E354EF"/>
    <w:rsid w:val="00E35ECC"/>
    <w:rsid w:val="00E360F5"/>
    <w:rsid w:val="00E374FE"/>
    <w:rsid w:val="00E40889"/>
    <w:rsid w:val="00E41394"/>
    <w:rsid w:val="00E41BC1"/>
    <w:rsid w:val="00E421A9"/>
    <w:rsid w:val="00E425F4"/>
    <w:rsid w:val="00E42FAC"/>
    <w:rsid w:val="00E431EF"/>
    <w:rsid w:val="00E43FA7"/>
    <w:rsid w:val="00E4423E"/>
    <w:rsid w:val="00E47E04"/>
    <w:rsid w:val="00E5122F"/>
    <w:rsid w:val="00E516B6"/>
    <w:rsid w:val="00E51D72"/>
    <w:rsid w:val="00E5208D"/>
    <w:rsid w:val="00E529E8"/>
    <w:rsid w:val="00E52B0C"/>
    <w:rsid w:val="00E53BFF"/>
    <w:rsid w:val="00E53C4C"/>
    <w:rsid w:val="00E54589"/>
    <w:rsid w:val="00E54796"/>
    <w:rsid w:val="00E54C8A"/>
    <w:rsid w:val="00E54F20"/>
    <w:rsid w:val="00E54F72"/>
    <w:rsid w:val="00E55893"/>
    <w:rsid w:val="00E56AF6"/>
    <w:rsid w:val="00E5785D"/>
    <w:rsid w:val="00E602A4"/>
    <w:rsid w:val="00E6034D"/>
    <w:rsid w:val="00E60A00"/>
    <w:rsid w:val="00E60D61"/>
    <w:rsid w:val="00E61067"/>
    <w:rsid w:val="00E615AF"/>
    <w:rsid w:val="00E63444"/>
    <w:rsid w:val="00E63D66"/>
    <w:rsid w:val="00E64072"/>
    <w:rsid w:val="00E64109"/>
    <w:rsid w:val="00E64863"/>
    <w:rsid w:val="00E65181"/>
    <w:rsid w:val="00E65375"/>
    <w:rsid w:val="00E65B4B"/>
    <w:rsid w:val="00E662D4"/>
    <w:rsid w:val="00E670AB"/>
    <w:rsid w:val="00E67971"/>
    <w:rsid w:val="00E67D7F"/>
    <w:rsid w:val="00E723D8"/>
    <w:rsid w:val="00E728BC"/>
    <w:rsid w:val="00E72FE9"/>
    <w:rsid w:val="00E73872"/>
    <w:rsid w:val="00E73CBB"/>
    <w:rsid w:val="00E74FDD"/>
    <w:rsid w:val="00E7743D"/>
    <w:rsid w:val="00E77508"/>
    <w:rsid w:val="00E77D4A"/>
    <w:rsid w:val="00E807FA"/>
    <w:rsid w:val="00E80FED"/>
    <w:rsid w:val="00E816F9"/>
    <w:rsid w:val="00E81A20"/>
    <w:rsid w:val="00E81F23"/>
    <w:rsid w:val="00E829D4"/>
    <w:rsid w:val="00E82C81"/>
    <w:rsid w:val="00E84D31"/>
    <w:rsid w:val="00E85959"/>
    <w:rsid w:val="00E86284"/>
    <w:rsid w:val="00E8676E"/>
    <w:rsid w:val="00E86EAF"/>
    <w:rsid w:val="00E877DA"/>
    <w:rsid w:val="00E90366"/>
    <w:rsid w:val="00E9071D"/>
    <w:rsid w:val="00E912D5"/>
    <w:rsid w:val="00E91F93"/>
    <w:rsid w:val="00E9200D"/>
    <w:rsid w:val="00E92B05"/>
    <w:rsid w:val="00E92BCD"/>
    <w:rsid w:val="00E943B0"/>
    <w:rsid w:val="00E94910"/>
    <w:rsid w:val="00E9586A"/>
    <w:rsid w:val="00E95E38"/>
    <w:rsid w:val="00E975BF"/>
    <w:rsid w:val="00E97970"/>
    <w:rsid w:val="00EA0E5A"/>
    <w:rsid w:val="00EA1063"/>
    <w:rsid w:val="00EA14DC"/>
    <w:rsid w:val="00EA2841"/>
    <w:rsid w:val="00EA2E45"/>
    <w:rsid w:val="00EA3D43"/>
    <w:rsid w:val="00EA4603"/>
    <w:rsid w:val="00EA5EE8"/>
    <w:rsid w:val="00EA6109"/>
    <w:rsid w:val="00EA682C"/>
    <w:rsid w:val="00EA7377"/>
    <w:rsid w:val="00EA73C7"/>
    <w:rsid w:val="00EB256E"/>
    <w:rsid w:val="00EB2F76"/>
    <w:rsid w:val="00EB4A6F"/>
    <w:rsid w:val="00EB52AC"/>
    <w:rsid w:val="00EB5DFF"/>
    <w:rsid w:val="00EB6047"/>
    <w:rsid w:val="00EB7623"/>
    <w:rsid w:val="00EC0CC0"/>
    <w:rsid w:val="00EC0CD3"/>
    <w:rsid w:val="00EC286A"/>
    <w:rsid w:val="00EC2B4A"/>
    <w:rsid w:val="00EC327D"/>
    <w:rsid w:val="00EC4813"/>
    <w:rsid w:val="00EC5004"/>
    <w:rsid w:val="00EC6301"/>
    <w:rsid w:val="00EC6603"/>
    <w:rsid w:val="00EC6779"/>
    <w:rsid w:val="00EC7E6A"/>
    <w:rsid w:val="00ED0F69"/>
    <w:rsid w:val="00ED1A4F"/>
    <w:rsid w:val="00ED21FD"/>
    <w:rsid w:val="00ED2F45"/>
    <w:rsid w:val="00ED308C"/>
    <w:rsid w:val="00EE047C"/>
    <w:rsid w:val="00EE0D34"/>
    <w:rsid w:val="00EE13BB"/>
    <w:rsid w:val="00EE355A"/>
    <w:rsid w:val="00EE36B6"/>
    <w:rsid w:val="00EE36CF"/>
    <w:rsid w:val="00EE3F04"/>
    <w:rsid w:val="00EE491A"/>
    <w:rsid w:val="00EE70A8"/>
    <w:rsid w:val="00EF02E8"/>
    <w:rsid w:val="00EF032C"/>
    <w:rsid w:val="00EF0970"/>
    <w:rsid w:val="00EF0E93"/>
    <w:rsid w:val="00EF1B5A"/>
    <w:rsid w:val="00EF1CF1"/>
    <w:rsid w:val="00EF2296"/>
    <w:rsid w:val="00EF37E5"/>
    <w:rsid w:val="00EF660A"/>
    <w:rsid w:val="00EF7686"/>
    <w:rsid w:val="00F0014B"/>
    <w:rsid w:val="00F00B77"/>
    <w:rsid w:val="00F00D94"/>
    <w:rsid w:val="00F01AD4"/>
    <w:rsid w:val="00F02B89"/>
    <w:rsid w:val="00F03260"/>
    <w:rsid w:val="00F03642"/>
    <w:rsid w:val="00F0644E"/>
    <w:rsid w:val="00F073F8"/>
    <w:rsid w:val="00F11E69"/>
    <w:rsid w:val="00F126DA"/>
    <w:rsid w:val="00F1316D"/>
    <w:rsid w:val="00F15F1E"/>
    <w:rsid w:val="00F15F4E"/>
    <w:rsid w:val="00F2001C"/>
    <w:rsid w:val="00F2085D"/>
    <w:rsid w:val="00F21C69"/>
    <w:rsid w:val="00F21E64"/>
    <w:rsid w:val="00F24940"/>
    <w:rsid w:val="00F24A80"/>
    <w:rsid w:val="00F24FB6"/>
    <w:rsid w:val="00F25BF4"/>
    <w:rsid w:val="00F264CE"/>
    <w:rsid w:val="00F2728A"/>
    <w:rsid w:val="00F27C59"/>
    <w:rsid w:val="00F27D83"/>
    <w:rsid w:val="00F30DF7"/>
    <w:rsid w:val="00F32B4F"/>
    <w:rsid w:val="00F33F89"/>
    <w:rsid w:val="00F35ED2"/>
    <w:rsid w:val="00F3615C"/>
    <w:rsid w:val="00F3657D"/>
    <w:rsid w:val="00F36644"/>
    <w:rsid w:val="00F36D72"/>
    <w:rsid w:val="00F40185"/>
    <w:rsid w:val="00F40B5F"/>
    <w:rsid w:val="00F40BB3"/>
    <w:rsid w:val="00F43D66"/>
    <w:rsid w:val="00F45815"/>
    <w:rsid w:val="00F476D0"/>
    <w:rsid w:val="00F47E9B"/>
    <w:rsid w:val="00F50350"/>
    <w:rsid w:val="00F50A89"/>
    <w:rsid w:val="00F50B41"/>
    <w:rsid w:val="00F50F11"/>
    <w:rsid w:val="00F50FDC"/>
    <w:rsid w:val="00F54038"/>
    <w:rsid w:val="00F56217"/>
    <w:rsid w:val="00F57793"/>
    <w:rsid w:val="00F578F2"/>
    <w:rsid w:val="00F60D6E"/>
    <w:rsid w:val="00F610B4"/>
    <w:rsid w:val="00F6304F"/>
    <w:rsid w:val="00F6357D"/>
    <w:rsid w:val="00F66482"/>
    <w:rsid w:val="00F66614"/>
    <w:rsid w:val="00F66C31"/>
    <w:rsid w:val="00F706F9"/>
    <w:rsid w:val="00F70E9F"/>
    <w:rsid w:val="00F71577"/>
    <w:rsid w:val="00F7200F"/>
    <w:rsid w:val="00F723E1"/>
    <w:rsid w:val="00F7542A"/>
    <w:rsid w:val="00F76F96"/>
    <w:rsid w:val="00F77A6E"/>
    <w:rsid w:val="00F8327F"/>
    <w:rsid w:val="00F83AD2"/>
    <w:rsid w:val="00F83B1B"/>
    <w:rsid w:val="00F86761"/>
    <w:rsid w:val="00F909C3"/>
    <w:rsid w:val="00F91692"/>
    <w:rsid w:val="00F9230C"/>
    <w:rsid w:val="00F92C8C"/>
    <w:rsid w:val="00F92EDB"/>
    <w:rsid w:val="00F94102"/>
    <w:rsid w:val="00F94547"/>
    <w:rsid w:val="00F94F68"/>
    <w:rsid w:val="00F97F23"/>
    <w:rsid w:val="00FA1829"/>
    <w:rsid w:val="00FA1F35"/>
    <w:rsid w:val="00FA3253"/>
    <w:rsid w:val="00FA41EB"/>
    <w:rsid w:val="00FA6689"/>
    <w:rsid w:val="00FA726E"/>
    <w:rsid w:val="00FA7355"/>
    <w:rsid w:val="00FA74B3"/>
    <w:rsid w:val="00FB079A"/>
    <w:rsid w:val="00FB17A7"/>
    <w:rsid w:val="00FB1AB6"/>
    <w:rsid w:val="00FB2005"/>
    <w:rsid w:val="00FB341A"/>
    <w:rsid w:val="00FB36A1"/>
    <w:rsid w:val="00FB3E21"/>
    <w:rsid w:val="00FB467D"/>
    <w:rsid w:val="00FB5548"/>
    <w:rsid w:val="00FC0293"/>
    <w:rsid w:val="00FC1C91"/>
    <w:rsid w:val="00FC2115"/>
    <w:rsid w:val="00FC29DF"/>
    <w:rsid w:val="00FC2D78"/>
    <w:rsid w:val="00FC33D7"/>
    <w:rsid w:val="00FC3B30"/>
    <w:rsid w:val="00FC47FA"/>
    <w:rsid w:val="00FC53D1"/>
    <w:rsid w:val="00FD06B8"/>
    <w:rsid w:val="00FD122A"/>
    <w:rsid w:val="00FD1264"/>
    <w:rsid w:val="00FD15A7"/>
    <w:rsid w:val="00FD23A7"/>
    <w:rsid w:val="00FD2DBE"/>
    <w:rsid w:val="00FD4FBC"/>
    <w:rsid w:val="00FD5434"/>
    <w:rsid w:val="00FD585A"/>
    <w:rsid w:val="00FE21F4"/>
    <w:rsid w:val="00FE2C58"/>
    <w:rsid w:val="00FE3790"/>
    <w:rsid w:val="00FE4C26"/>
    <w:rsid w:val="00FE53DB"/>
    <w:rsid w:val="00FE5B41"/>
    <w:rsid w:val="00FE64EC"/>
    <w:rsid w:val="00FE72F5"/>
    <w:rsid w:val="00FE75C0"/>
    <w:rsid w:val="00FE782C"/>
    <w:rsid w:val="00FE7ABE"/>
    <w:rsid w:val="00FF0F9C"/>
    <w:rsid w:val="00FF136B"/>
    <w:rsid w:val="00FF571D"/>
    <w:rsid w:val="00FF5B45"/>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A5A535"/>
  <w15:docId w15:val="{B2565A70-628C-47E4-8AD3-51D7C80C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70A8"/>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EAB"/>
    <w:pPr>
      <w:spacing w:after="200" w:line="276" w:lineRule="auto"/>
      <w:outlineLvl w:val="0"/>
    </w:pPr>
    <w:rPr>
      <w:b/>
      <w:bCs/>
      <w:sz w:val="28"/>
    </w:rPr>
  </w:style>
  <w:style w:type="paragraph" w:styleId="Heading2">
    <w:name w:val="heading 2"/>
    <w:basedOn w:val="Normal"/>
    <w:next w:val="Normal"/>
    <w:link w:val="Heading2Char"/>
    <w:qFormat/>
    <w:rsid w:val="00DC609C"/>
    <w:pPr>
      <w:spacing w:after="200" w:line="276" w:lineRule="auto"/>
      <w:outlineLvl w:val="1"/>
    </w:pPr>
    <w:rPr>
      <w:b/>
      <w:bCs/>
      <w:u w:val="single"/>
    </w:rPr>
  </w:style>
  <w:style w:type="paragraph" w:styleId="Heading3">
    <w:name w:val="heading 3"/>
    <w:basedOn w:val="ListParagraph"/>
    <w:next w:val="Normal"/>
    <w:link w:val="Heading3Char"/>
    <w:qFormat/>
    <w:rsid w:val="00163D69"/>
    <w:pPr>
      <w:outlineLvl w:val="2"/>
    </w:pPr>
    <w:rPr>
      <w:b/>
    </w:rPr>
  </w:style>
  <w:style w:type="paragraph" w:styleId="Heading4">
    <w:name w:val="heading 4"/>
    <w:basedOn w:val="Normal"/>
    <w:next w:val="Normal"/>
    <w:link w:val="Heading4Char"/>
    <w:qFormat/>
    <w:rsid w:val="0027304D"/>
    <w:pPr>
      <w:keepNext/>
      <w:outlineLvl w:val="3"/>
    </w:pPr>
    <w:rPr>
      <w:u w:val="single"/>
    </w:rPr>
  </w:style>
  <w:style w:type="paragraph" w:styleId="Heading5">
    <w:name w:val="heading 5"/>
    <w:basedOn w:val="Normal"/>
    <w:next w:val="Normal"/>
    <w:link w:val="Heading5Char"/>
    <w:rsid w:val="0027304D"/>
    <w:pPr>
      <w:keepNext/>
      <w:jc w:val="both"/>
      <w:outlineLvl w:val="4"/>
    </w:pPr>
    <w:rPr>
      <w:b/>
      <w:bCs/>
    </w:rPr>
  </w:style>
  <w:style w:type="paragraph" w:styleId="Heading6">
    <w:name w:val="heading 6"/>
    <w:basedOn w:val="Normal"/>
    <w:next w:val="Normal"/>
    <w:link w:val="Heading6Char"/>
    <w:rsid w:val="0027304D"/>
    <w:pPr>
      <w:keepNext/>
      <w:ind w:left="720"/>
      <w:jc w:val="both"/>
      <w:outlineLvl w:val="5"/>
    </w:pPr>
    <w:rPr>
      <w:u w:val="single"/>
    </w:rPr>
  </w:style>
  <w:style w:type="paragraph" w:styleId="Heading7">
    <w:name w:val="heading 7"/>
    <w:basedOn w:val="Normal"/>
    <w:next w:val="Normal"/>
    <w:link w:val="Heading7Char"/>
    <w:rsid w:val="0027304D"/>
    <w:pPr>
      <w:keepNext/>
      <w:ind w:left="2880"/>
      <w:jc w:val="center"/>
      <w:outlineLvl w:val="6"/>
    </w:pPr>
    <w:rPr>
      <w:b/>
      <w:bCs/>
    </w:rPr>
  </w:style>
  <w:style w:type="paragraph" w:styleId="Heading8">
    <w:name w:val="heading 8"/>
    <w:basedOn w:val="Normal"/>
    <w:next w:val="Normal"/>
    <w:link w:val="Heading8Char"/>
    <w:rsid w:val="0027304D"/>
    <w:pPr>
      <w:keepNext/>
      <w:ind w:left="2160" w:firstLine="720"/>
      <w:jc w:val="both"/>
      <w:outlineLvl w:val="7"/>
    </w:pPr>
    <w:rPr>
      <w:b/>
      <w:bCs/>
    </w:rPr>
  </w:style>
  <w:style w:type="paragraph" w:styleId="Heading9">
    <w:name w:val="heading 9"/>
    <w:basedOn w:val="Normal"/>
    <w:next w:val="Normal"/>
    <w:link w:val="Heading9Char"/>
    <w:rsid w:val="0027304D"/>
    <w:pPr>
      <w:keepNext/>
      <w:ind w:firstLine="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EAB"/>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C609C"/>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163D69"/>
    <w:rPr>
      <w:rFonts w:ascii="Times New Roman" w:hAnsi="Times New Roman" w:cs="Times New Roman"/>
      <w:b/>
      <w:sz w:val="24"/>
      <w:szCs w:val="24"/>
    </w:rPr>
  </w:style>
  <w:style w:type="character" w:customStyle="1" w:styleId="Heading4Char">
    <w:name w:val="Heading 4 Char"/>
    <w:basedOn w:val="DefaultParagraphFont"/>
    <w:link w:val="Heading4"/>
    <w:rsid w:val="0027304D"/>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27304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7304D"/>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27304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27304D"/>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27304D"/>
    <w:rPr>
      <w:rFonts w:ascii="Times New Roman" w:eastAsia="Times New Roman" w:hAnsi="Times New Roman" w:cs="Times New Roman"/>
      <w:b/>
      <w:bCs/>
      <w:sz w:val="24"/>
      <w:szCs w:val="24"/>
    </w:rPr>
  </w:style>
  <w:style w:type="paragraph" w:styleId="Header">
    <w:name w:val="header"/>
    <w:basedOn w:val="Normal"/>
    <w:link w:val="HeaderChar"/>
    <w:unhideWhenUsed/>
    <w:rsid w:val="007C3B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3BD0"/>
  </w:style>
  <w:style w:type="paragraph" w:styleId="Footer">
    <w:name w:val="footer"/>
    <w:basedOn w:val="Normal"/>
    <w:link w:val="FooterChar"/>
    <w:uiPriority w:val="99"/>
    <w:unhideWhenUsed/>
    <w:rsid w:val="00EE70A8"/>
    <w:pPr>
      <w:tabs>
        <w:tab w:val="center" w:pos="4680"/>
        <w:tab w:val="right" w:pos="9360"/>
      </w:tabs>
      <w:spacing w:after="0"/>
      <w:contextualSpacing/>
    </w:pPr>
    <w:rPr>
      <w:rFonts w:eastAsiaTheme="minorHAnsi" w:cstheme="minorBidi"/>
      <w:sz w:val="20"/>
      <w:szCs w:val="22"/>
    </w:rPr>
  </w:style>
  <w:style w:type="character" w:customStyle="1" w:styleId="FooterChar">
    <w:name w:val="Footer Char"/>
    <w:basedOn w:val="DefaultParagraphFont"/>
    <w:link w:val="Footer"/>
    <w:uiPriority w:val="99"/>
    <w:rsid w:val="00EE70A8"/>
    <w:rPr>
      <w:rFonts w:ascii="Times New Roman" w:hAnsi="Times New Roman"/>
      <w:sz w:val="20"/>
    </w:rPr>
  </w:style>
  <w:style w:type="paragraph" w:styleId="BalloonText">
    <w:name w:val="Balloon Text"/>
    <w:basedOn w:val="Normal"/>
    <w:link w:val="BalloonTextChar"/>
    <w:uiPriority w:val="99"/>
    <w:semiHidden/>
    <w:unhideWhenUsed/>
    <w:rsid w:val="007C3BD0"/>
    <w:rPr>
      <w:rFonts w:ascii="Tahoma" w:hAnsi="Tahoma" w:cs="Tahoma"/>
      <w:sz w:val="16"/>
      <w:szCs w:val="16"/>
    </w:rPr>
  </w:style>
  <w:style w:type="character" w:customStyle="1" w:styleId="BalloonTextChar">
    <w:name w:val="Balloon Text Char"/>
    <w:basedOn w:val="DefaultParagraphFont"/>
    <w:link w:val="BalloonText"/>
    <w:uiPriority w:val="99"/>
    <w:semiHidden/>
    <w:rsid w:val="007C3BD0"/>
    <w:rPr>
      <w:rFonts w:ascii="Tahoma" w:hAnsi="Tahoma" w:cs="Tahoma"/>
      <w:sz w:val="16"/>
      <w:szCs w:val="16"/>
    </w:rPr>
  </w:style>
  <w:style w:type="character" w:styleId="Hyperlink">
    <w:name w:val="Hyperlink"/>
    <w:uiPriority w:val="99"/>
    <w:rsid w:val="00540A59"/>
    <w:rPr>
      <w:color w:val="0000FF"/>
      <w:u w:val="single"/>
    </w:rPr>
  </w:style>
  <w:style w:type="paragraph" w:styleId="ListParagraph">
    <w:name w:val="List Paragraph"/>
    <w:basedOn w:val="Normal"/>
    <w:uiPriority w:val="34"/>
    <w:qFormat/>
    <w:rsid w:val="00EE70A8"/>
    <w:pPr>
      <w:numPr>
        <w:numId w:val="5"/>
      </w:numPr>
    </w:pPr>
    <w:rPr>
      <w:rFonts w:eastAsiaTheme="minorHAnsi"/>
    </w:rPr>
  </w:style>
  <w:style w:type="paragraph" w:styleId="CommentText">
    <w:name w:val="annotation text"/>
    <w:basedOn w:val="Normal"/>
    <w:link w:val="CommentTextChar"/>
    <w:uiPriority w:val="99"/>
    <w:unhideWhenUsed/>
    <w:rsid w:val="00C203C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03C4"/>
    <w:rPr>
      <w:sz w:val="20"/>
      <w:szCs w:val="20"/>
    </w:rPr>
  </w:style>
  <w:style w:type="character" w:styleId="CommentReference">
    <w:name w:val="annotation reference"/>
    <w:basedOn w:val="DefaultParagraphFont"/>
    <w:uiPriority w:val="99"/>
    <w:semiHidden/>
    <w:unhideWhenUsed/>
    <w:rsid w:val="00C203C4"/>
    <w:rPr>
      <w:sz w:val="16"/>
      <w:szCs w:val="16"/>
    </w:rPr>
  </w:style>
  <w:style w:type="paragraph" w:styleId="Title">
    <w:name w:val="Title"/>
    <w:basedOn w:val="Normal"/>
    <w:link w:val="TitleChar"/>
    <w:qFormat/>
    <w:rsid w:val="00DC609C"/>
    <w:pPr>
      <w:jc w:val="center"/>
    </w:pPr>
    <w:rPr>
      <w:b/>
      <w:bCs/>
      <w:sz w:val="40"/>
      <w:szCs w:val="40"/>
    </w:rPr>
  </w:style>
  <w:style w:type="character" w:customStyle="1" w:styleId="TitleChar">
    <w:name w:val="Title Char"/>
    <w:basedOn w:val="DefaultParagraphFont"/>
    <w:link w:val="Title"/>
    <w:rsid w:val="00DC609C"/>
    <w:rPr>
      <w:rFonts w:ascii="Times New Roman" w:eastAsia="Times New Roman" w:hAnsi="Times New Roman" w:cs="Times New Roman"/>
      <w:b/>
      <w:bCs/>
      <w:sz w:val="40"/>
      <w:szCs w:val="40"/>
    </w:rPr>
  </w:style>
  <w:style w:type="paragraph" w:styleId="BodyTextIndent">
    <w:name w:val="Body Text Indent"/>
    <w:basedOn w:val="Normal"/>
    <w:link w:val="BodyTextIndentChar"/>
    <w:semiHidden/>
    <w:rsid w:val="0027304D"/>
    <w:pPr>
      <w:ind w:left="4320" w:hanging="4320"/>
    </w:pPr>
  </w:style>
  <w:style w:type="character" w:customStyle="1" w:styleId="BodyTextIndentChar">
    <w:name w:val="Body Text Indent Char"/>
    <w:basedOn w:val="DefaultParagraphFont"/>
    <w:link w:val="BodyTextIndent"/>
    <w:semiHidden/>
    <w:rsid w:val="0027304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7304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7304D"/>
    <w:pPr>
      <w:ind w:left="1440"/>
    </w:pPr>
  </w:style>
  <w:style w:type="paragraph" w:styleId="BodyTextIndent3">
    <w:name w:val="Body Text Indent 3"/>
    <w:basedOn w:val="Normal"/>
    <w:link w:val="BodyTextIndent3Char"/>
    <w:semiHidden/>
    <w:rsid w:val="0027304D"/>
    <w:pPr>
      <w:ind w:left="1080"/>
    </w:pPr>
  </w:style>
  <w:style w:type="character" w:customStyle="1" w:styleId="BodyTextIndent3Char">
    <w:name w:val="Body Text Indent 3 Char"/>
    <w:basedOn w:val="DefaultParagraphFont"/>
    <w:link w:val="BodyTextIndent3"/>
    <w:semiHidden/>
    <w:rsid w:val="0027304D"/>
    <w:rPr>
      <w:rFonts w:ascii="Times New Roman" w:eastAsia="Times New Roman" w:hAnsi="Times New Roman" w:cs="Times New Roman"/>
      <w:sz w:val="24"/>
      <w:szCs w:val="24"/>
    </w:rPr>
  </w:style>
  <w:style w:type="paragraph" w:styleId="BodyText">
    <w:name w:val="Body Text"/>
    <w:basedOn w:val="Normal"/>
    <w:link w:val="BodyTextChar"/>
    <w:semiHidden/>
    <w:rsid w:val="0027304D"/>
    <w:rPr>
      <w:i/>
      <w:iCs/>
    </w:rPr>
  </w:style>
  <w:style w:type="character" w:customStyle="1" w:styleId="BodyTextChar">
    <w:name w:val="Body Text Char"/>
    <w:basedOn w:val="DefaultParagraphFont"/>
    <w:link w:val="BodyText"/>
    <w:semiHidden/>
    <w:rsid w:val="0027304D"/>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27304D"/>
    <w:rPr>
      <w:rFonts w:ascii="Times New Roman" w:eastAsia="Times New Roman" w:hAnsi="Times New Roman" w:cs="Times New Roman"/>
      <w:b/>
      <w:bCs/>
      <w:sz w:val="24"/>
      <w:szCs w:val="24"/>
    </w:rPr>
  </w:style>
  <w:style w:type="paragraph" w:styleId="BodyText2">
    <w:name w:val="Body Text 2"/>
    <w:basedOn w:val="Normal"/>
    <w:link w:val="BodyText2Char"/>
    <w:semiHidden/>
    <w:rsid w:val="0027304D"/>
    <w:rPr>
      <w:b/>
      <w:bCs/>
    </w:rPr>
  </w:style>
  <w:style w:type="paragraph" w:styleId="TOC1">
    <w:name w:val="toc 1"/>
    <w:basedOn w:val="Normal"/>
    <w:next w:val="Normal"/>
    <w:autoRedefine/>
    <w:uiPriority w:val="39"/>
    <w:rsid w:val="00FD585A"/>
    <w:pPr>
      <w:tabs>
        <w:tab w:val="left" w:pos="360"/>
        <w:tab w:val="right" w:leader="dot" w:pos="9350"/>
      </w:tabs>
      <w:spacing w:before="200" w:after="80"/>
    </w:pPr>
    <w:rPr>
      <w:b/>
      <w:bCs/>
    </w:rPr>
  </w:style>
  <w:style w:type="paragraph" w:styleId="TOC4">
    <w:name w:val="toc 4"/>
    <w:basedOn w:val="Normal"/>
    <w:next w:val="Normal"/>
    <w:autoRedefine/>
    <w:semiHidden/>
    <w:rsid w:val="0027304D"/>
    <w:pPr>
      <w:ind w:left="720"/>
    </w:pPr>
  </w:style>
  <w:style w:type="paragraph" w:styleId="BodyText3">
    <w:name w:val="Body Text 3"/>
    <w:basedOn w:val="Normal"/>
    <w:link w:val="BodyText3Char"/>
    <w:semiHidden/>
    <w:rsid w:val="0027304D"/>
    <w:pPr>
      <w:jc w:val="both"/>
    </w:pPr>
  </w:style>
  <w:style w:type="character" w:customStyle="1" w:styleId="BodyText3Char">
    <w:name w:val="Body Text 3 Char"/>
    <w:basedOn w:val="DefaultParagraphFont"/>
    <w:link w:val="BodyText3"/>
    <w:semiHidden/>
    <w:rsid w:val="0027304D"/>
    <w:rPr>
      <w:rFonts w:ascii="Times New Roman" w:eastAsia="Times New Roman" w:hAnsi="Times New Roman" w:cs="Times New Roman"/>
      <w:sz w:val="24"/>
      <w:szCs w:val="24"/>
    </w:rPr>
  </w:style>
  <w:style w:type="paragraph" w:styleId="Caption">
    <w:name w:val="caption"/>
    <w:basedOn w:val="Normal"/>
    <w:next w:val="Normal"/>
    <w:rsid w:val="0027304D"/>
    <w:rPr>
      <w:b/>
      <w:bCs/>
    </w:rPr>
  </w:style>
  <w:style w:type="paragraph" w:styleId="NoSpacing">
    <w:name w:val="No Spacing"/>
    <w:uiPriority w:val="1"/>
    <w:qFormat/>
    <w:rsid w:val="0027304D"/>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7304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7304D"/>
    <w:rPr>
      <w:rFonts w:ascii="Times New Roman" w:eastAsia="Times New Roman" w:hAnsi="Times New Roman" w:cs="Times New Roman"/>
      <w:b/>
      <w:bCs/>
      <w:sz w:val="20"/>
      <w:szCs w:val="20"/>
    </w:rPr>
  </w:style>
  <w:style w:type="paragraph" w:customStyle="1" w:styleId="Default">
    <w:name w:val="Default"/>
    <w:rsid w:val="0027304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63D69"/>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163D69"/>
    <w:rPr>
      <w:rFonts w:ascii="Times New Roman" w:hAnsi="Times New Roman"/>
      <w:sz w:val="20"/>
      <w:szCs w:val="20"/>
    </w:rPr>
  </w:style>
  <w:style w:type="character" w:styleId="FootnoteReference">
    <w:name w:val="footnote reference"/>
    <w:basedOn w:val="DefaultParagraphFont"/>
    <w:uiPriority w:val="99"/>
    <w:semiHidden/>
    <w:unhideWhenUsed/>
    <w:rsid w:val="0027304D"/>
    <w:rPr>
      <w:vertAlign w:val="superscript"/>
    </w:rPr>
  </w:style>
  <w:style w:type="paragraph" w:customStyle="1" w:styleId="Style0">
    <w:name w:val="Style0"/>
    <w:rsid w:val="0027304D"/>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semiHidden/>
    <w:unhideWhenUsed/>
    <w:rsid w:val="00065BB7"/>
    <w:rPr>
      <w:color w:val="800080" w:themeColor="followedHyperlink"/>
      <w:u w:val="single"/>
    </w:rPr>
  </w:style>
  <w:style w:type="paragraph" w:styleId="EndnoteText">
    <w:name w:val="endnote text"/>
    <w:basedOn w:val="Normal"/>
    <w:link w:val="EndnoteTextChar"/>
    <w:uiPriority w:val="99"/>
    <w:semiHidden/>
    <w:unhideWhenUsed/>
    <w:rsid w:val="00CE6FF3"/>
    <w:rPr>
      <w:sz w:val="20"/>
      <w:szCs w:val="20"/>
    </w:rPr>
  </w:style>
  <w:style w:type="character" w:customStyle="1" w:styleId="EndnoteTextChar">
    <w:name w:val="Endnote Text Char"/>
    <w:basedOn w:val="DefaultParagraphFont"/>
    <w:link w:val="EndnoteText"/>
    <w:uiPriority w:val="99"/>
    <w:semiHidden/>
    <w:rsid w:val="00CE6FF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6FF3"/>
    <w:rPr>
      <w:vertAlign w:val="superscript"/>
    </w:rPr>
  </w:style>
  <w:style w:type="table" w:styleId="TableGrid">
    <w:name w:val="Table Grid"/>
    <w:basedOn w:val="TableNormal"/>
    <w:uiPriority w:val="39"/>
    <w:rsid w:val="0024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609C"/>
  </w:style>
  <w:style w:type="paragraph" w:styleId="TOC2">
    <w:name w:val="toc 2"/>
    <w:basedOn w:val="Normal"/>
    <w:next w:val="Normal"/>
    <w:autoRedefine/>
    <w:uiPriority w:val="39"/>
    <w:unhideWhenUsed/>
    <w:rsid w:val="005F3F84"/>
    <w:pPr>
      <w:tabs>
        <w:tab w:val="left" w:pos="1710"/>
        <w:tab w:val="right" w:leader="dot" w:pos="9360"/>
      </w:tabs>
      <w:spacing w:after="100"/>
      <w:ind w:left="240"/>
    </w:pPr>
    <w:rPr>
      <w:noProof/>
    </w:rPr>
  </w:style>
  <w:style w:type="character" w:styleId="UnresolvedMention">
    <w:name w:val="Unresolved Mention"/>
    <w:basedOn w:val="DefaultParagraphFont"/>
    <w:uiPriority w:val="99"/>
    <w:rsid w:val="00CD5F12"/>
    <w:rPr>
      <w:color w:val="808080"/>
      <w:shd w:val="clear" w:color="auto" w:fill="E6E6E6"/>
    </w:rPr>
  </w:style>
  <w:style w:type="table" w:styleId="GridTable4-Accent1">
    <w:name w:val="Grid Table 4 Accent 1"/>
    <w:basedOn w:val="TableNormal"/>
    <w:uiPriority w:val="49"/>
    <w:rsid w:val="00D03C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DC609C"/>
    <w:pPr>
      <w:jc w:val="center"/>
    </w:pPr>
    <w:rPr>
      <w:b/>
      <w:bCs/>
      <w:i/>
      <w:sz w:val="32"/>
      <w:szCs w:val="32"/>
    </w:rPr>
  </w:style>
  <w:style w:type="character" w:customStyle="1" w:styleId="SubtitleChar">
    <w:name w:val="Subtitle Char"/>
    <w:basedOn w:val="DefaultParagraphFont"/>
    <w:link w:val="Subtitle"/>
    <w:uiPriority w:val="11"/>
    <w:rsid w:val="00DC609C"/>
    <w:rPr>
      <w:rFonts w:ascii="Times New Roman" w:eastAsia="Times New Roman" w:hAnsi="Times New Roman" w:cs="Times New Roman"/>
      <w:b/>
      <w:bCs/>
      <w:i/>
      <w:sz w:val="32"/>
      <w:szCs w:val="32"/>
    </w:rPr>
  </w:style>
  <w:style w:type="paragraph" w:styleId="TOC3">
    <w:name w:val="toc 3"/>
    <w:basedOn w:val="Normal"/>
    <w:next w:val="Normal"/>
    <w:autoRedefine/>
    <w:uiPriority w:val="39"/>
    <w:unhideWhenUsed/>
    <w:rsid w:val="00C8656D"/>
    <w:pPr>
      <w:spacing w:after="100"/>
      <w:ind w:left="480"/>
    </w:pPr>
  </w:style>
  <w:style w:type="paragraph" w:customStyle="1" w:styleId="xmsonormal">
    <w:name w:val="x_msonormal"/>
    <w:basedOn w:val="Normal"/>
    <w:rsid w:val="0005170F"/>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FD585A"/>
    <w:pPr>
      <w:spacing w:after="0"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D1CED"/>
    <w:pPr>
      <w:spacing w:before="100" w:beforeAutospacing="1" w:after="100" w:afterAutospacing="1"/>
    </w:pPr>
    <w:rPr>
      <w:rFonts w:ascii="Calibri" w:eastAsiaTheme="minorHAnsi" w:hAnsi="Calibri" w:cs="Calibri"/>
      <w:sz w:val="22"/>
      <w:szCs w:val="22"/>
    </w:rPr>
  </w:style>
  <w:style w:type="table" w:styleId="GridTable5Dark-Accent1">
    <w:name w:val="Grid Table 5 Dark Accent 1"/>
    <w:basedOn w:val="TableNormal"/>
    <w:uiPriority w:val="50"/>
    <w:rsid w:val="00536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1">
    <w:name w:val="Grid Table 1 Light Accent 1"/>
    <w:basedOn w:val="TableNormal"/>
    <w:uiPriority w:val="46"/>
    <w:rsid w:val="00D565B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771EC7"/>
    <w:pPr>
      <w:spacing w:before="100" w:beforeAutospacing="1" w:after="100" w:afterAutospacing="1"/>
    </w:pPr>
  </w:style>
  <w:style w:type="character" w:customStyle="1" w:styleId="normaltextrun">
    <w:name w:val="normaltextrun"/>
    <w:basedOn w:val="DefaultParagraphFont"/>
    <w:rsid w:val="00771EC7"/>
  </w:style>
  <w:style w:type="character" w:customStyle="1" w:styleId="eop">
    <w:name w:val="eop"/>
    <w:basedOn w:val="DefaultParagraphFont"/>
    <w:rsid w:val="00771EC7"/>
  </w:style>
  <w:style w:type="character" w:customStyle="1" w:styleId="scxw210465546">
    <w:name w:val="scxw210465546"/>
    <w:basedOn w:val="DefaultParagraphFont"/>
    <w:rsid w:val="00B1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8096">
      <w:bodyDiv w:val="1"/>
      <w:marLeft w:val="0"/>
      <w:marRight w:val="0"/>
      <w:marTop w:val="0"/>
      <w:marBottom w:val="0"/>
      <w:divBdr>
        <w:top w:val="none" w:sz="0" w:space="0" w:color="auto"/>
        <w:left w:val="none" w:sz="0" w:space="0" w:color="auto"/>
        <w:bottom w:val="none" w:sz="0" w:space="0" w:color="auto"/>
        <w:right w:val="none" w:sz="0" w:space="0" w:color="auto"/>
      </w:divBdr>
    </w:div>
    <w:div w:id="125048841">
      <w:bodyDiv w:val="1"/>
      <w:marLeft w:val="0"/>
      <w:marRight w:val="0"/>
      <w:marTop w:val="0"/>
      <w:marBottom w:val="0"/>
      <w:divBdr>
        <w:top w:val="none" w:sz="0" w:space="0" w:color="auto"/>
        <w:left w:val="none" w:sz="0" w:space="0" w:color="auto"/>
        <w:bottom w:val="none" w:sz="0" w:space="0" w:color="auto"/>
        <w:right w:val="none" w:sz="0" w:space="0" w:color="auto"/>
      </w:divBdr>
    </w:div>
    <w:div w:id="126777938">
      <w:bodyDiv w:val="1"/>
      <w:marLeft w:val="0"/>
      <w:marRight w:val="0"/>
      <w:marTop w:val="0"/>
      <w:marBottom w:val="0"/>
      <w:divBdr>
        <w:top w:val="none" w:sz="0" w:space="0" w:color="auto"/>
        <w:left w:val="none" w:sz="0" w:space="0" w:color="auto"/>
        <w:bottom w:val="none" w:sz="0" w:space="0" w:color="auto"/>
        <w:right w:val="none" w:sz="0" w:space="0" w:color="auto"/>
      </w:divBdr>
    </w:div>
    <w:div w:id="131290740">
      <w:bodyDiv w:val="1"/>
      <w:marLeft w:val="0"/>
      <w:marRight w:val="0"/>
      <w:marTop w:val="0"/>
      <w:marBottom w:val="0"/>
      <w:divBdr>
        <w:top w:val="none" w:sz="0" w:space="0" w:color="auto"/>
        <w:left w:val="none" w:sz="0" w:space="0" w:color="auto"/>
        <w:bottom w:val="none" w:sz="0" w:space="0" w:color="auto"/>
        <w:right w:val="none" w:sz="0" w:space="0" w:color="auto"/>
      </w:divBdr>
    </w:div>
    <w:div w:id="137043224">
      <w:bodyDiv w:val="1"/>
      <w:marLeft w:val="0"/>
      <w:marRight w:val="0"/>
      <w:marTop w:val="0"/>
      <w:marBottom w:val="0"/>
      <w:divBdr>
        <w:top w:val="none" w:sz="0" w:space="0" w:color="auto"/>
        <w:left w:val="none" w:sz="0" w:space="0" w:color="auto"/>
        <w:bottom w:val="none" w:sz="0" w:space="0" w:color="auto"/>
        <w:right w:val="none" w:sz="0" w:space="0" w:color="auto"/>
      </w:divBdr>
      <w:divsChild>
        <w:div w:id="724335598">
          <w:marLeft w:val="1440"/>
          <w:marRight w:val="0"/>
          <w:marTop w:val="100"/>
          <w:marBottom w:val="0"/>
          <w:divBdr>
            <w:top w:val="none" w:sz="0" w:space="0" w:color="auto"/>
            <w:left w:val="none" w:sz="0" w:space="0" w:color="auto"/>
            <w:bottom w:val="none" w:sz="0" w:space="0" w:color="auto"/>
            <w:right w:val="none" w:sz="0" w:space="0" w:color="auto"/>
          </w:divBdr>
        </w:div>
      </w:divsChild>
    </w:div>
    <w:div w:id="187305580">
      <w:bodyDiv w:val="1"/>
      <w:marLeft w:val="0"/>
      <w:marRight w:val="0"/>
      <w:marTop w:val="0"/>
      <w:marBottom w:val="0"/>
      <w:divBdr>
        <w:top w:val="none" w:sz="0" w:space="0" w:color="auto"/>
        <w:left w:val="none" w:sz="0" w:space="0" w:color="auto"/>
        <w:bottom w:val="none" w:sz="0" w:space="0" w:color="auto"/>
        <w:right w:val="none" w:sz="0" w:space="0" w:color="auto"/>
      </w:divBdr>
    </w:div>
    <w:div w:id="198664085">
      <w:bodyDiv w:val="1"/>
      <w:marLeft w:val="0"/>
      <w:marRight w:val="0"/>
      <w:marTop w:val="0"/>
      <w:marBottom w:val="0"/>
      <w:divBdr>
        <w:top w:val="none" w:sz="0" w:space="0" w:color="auto"/>
        <w:left w:val="none" w:sz="0" w:space="0" w:color="auto"/>
        <w:bottom w:val="none" w:sz="0" w:space="0" w:color="auto"/>
        <w:right w:val="none" w:sz="0" w:space="0" w:color="auto"/>
      </w:divBdr>
    </w:div>
    <w:div w:id="255090213">
      <w:bodyDiv w:val="1"/>
      <w:marLeft w:val="0"/>
      <w:marRight w:val="0"/>
      <w:marTop w:val="0"/>
      <w:marBottom w:val="0"/>
      <w:divBdr>
        <w:top w:val="none" w:sz="0" w:space="0" w:color="auto"/>
        <w:left w:val="none" w:sz="0" w:space="0" w:color="auto"/>
        <w:bottom w:val="none" w:sz="0" w:space="0" w:color="auto"/>
        <w:right w:val="none" w:sz="0" w:space="0" w:color="auto"/>
      </w:divBdr>
    </w:div>
    <w:div w:id="299191636">
      <w:bodyDiv w:val="1"/>
      <w:marLeft w:val="0"/>
      <w:marRight w:val="0"/>
      <w:marTop w:val="0"/>
      <w:marBottom w:val="0"/>
      <w:divBdr>
        <w:top w:val="none" w:sz="0" w:space="0" w:color="auto"/>
        <w:left w:val="none" w:sz="0" w:space="0" w:color="auto"/>
        <w:bottom w:val="none" w:sz="0" w:space="0" w:color="auto"/>
        <w:right w:val="none" w:sz="0" w:space="0" w:color="auto"/>
      </w:divBdr>
    </w:div>
    <w:div w:id="439184865">
      <w:bodyDiv w:val="1"/>
      <w:marLeft w:val="0"/>
      <w:marRight w:val="0"/>
      <w:marTop w:val="0"/>
      <w:marBottom w:val="0"/>
      <w:divBdr>
        <w:top w:val="none" w:sz="0" w:space="0" w:color="auto"/>
        <w:left w:val="none" w:sz="0" w:space="0" w:color="auto"/>
        <w:bottom w:val="none" w:sz="0" w:space="0" w:color="auto"/>
        <w:right w:val="none" w:sz="0" w:space="0" w:color="auto"/>
      </w:divBdr>
    </w:div>
    <w:div w:id="464738907">
      <w:bodyDiv w:val="1"/>
      <w:marLeft w:val="0"/>
      <w:marRight w:val="0"/>
      <w:marTop w:val="0"/>
      <w:marBottom w:val="0"/>
      <w:divBdr>
        <w:top w:val="none" w:sz="0" w:space="0" w:color="auto"/>
        <w:left w:val="none" w:sz="0" w:space="0" w:color="auto"/>
        <w:bottom w:val="none" w:sz="0" w:space="0" w:color="auto"/>
        <w:right w:val="none" w:sz="0" w:space="0" w:color="auto"/>
      </w:divBdr>
    </w:div>
    <w:div w:id="546911090">
      <w:bodyDiv w:val="1"/>
      <w:marLeft w:val="0"/>
      <w:marRight w:val="0"/>
      <w:marTop w:val="0"/>
      <w:marBottom w:val="0"/>
      <w:divBdr>
        <w:top w:val="none" w:sz="0" w:space="0" w:color="auto"/>
        <w:left w:val="none" w:sz="0" w:space="0" w:color="auto"/>
        <w:bottom w:val="none" w:sz="0" w:space="0" w:color="auto"/>
        <w:right w:val="none" w:sz="0" w:space="0" w:color="auto"/>
      </w:divBdr>
    </w:div>
    <w:div w:id="619380740">
      <w:bodyDiv w:val="1"/>
      <w:marLeft w:val="0"/>
      <w:marRight w:val="0"/>
      <w:marTop w:val="0"/>
      <w:marBottom w:val="0"/>
      <w:divBdr>
        <w:top w:val="none" w:sz="0" w:space="0" w:color="auto"/>
        <w:left w:val="none" w:sz="0" w:space="0" w:color="auto"/>
        <w:bottom w:val="none" w:sz="0" w:space="0" w:color="auto"/>
        <w:right w:val="none" w:sz="0" w:space="0" w:color="auto"/>
      </w:divBdr>
    </w:div>
    <w:div w:id="757092555">
      <w:bodyDiv w:val="1"/>
      <w:marLeft w:val="0"/>
      <w:marRight w:val="0"/>
      <w:marTop w:val="0"/>
      <w:marBottom w:val="0"/>
      <w:divBdr>
        <w:top w:val="none" w:sz="0" w:space="0" w:color="auto"/>
        <w:left w:val="none" w:sz="0" w:space="0" w:color="auto"/>
        <w:bottom w:val="none" w:sz="0" w:space="0" w:color="auto"/>
        <w:right w:val="none" w:sz="0" w:space="0" w:color="auto"/>
      </w:divBdr>
    </w:div>
    <w:div w:id="762342915">
      <w:bodyDiv w:val="1"/>
      <w:marLeft w:val="0"/>
      <w:marRight w:val="0"/>
      <w:marTop w:val="0"/>
      <w:marBottom w:val="0"/>
      <w:divBdr>
        <w:top w:val="none" w:sz="0" w:space="0" w:color="auto"/>
        <w:left w:val="none" w:sz="0" w:space="0" w:color="auto"/>
        <w:bottom w:val="none" w:sz="0" w:space="0" w:color="auto"/>
        <w:right w:val="none" w:sz="0" w:space="0" w:color="auto"/>
      </w:divBdr>
      <w:divsChild>
        <w:div w:id="57171135">
          <w:marLeft w:val="0"/>
          <w:marRight w:val="0"/>
          <w:marTop w:val="0"/>
          <w:marBottom w:val="0"/>
          <w:divBdr>
            <w:top w:val="none" w:sz="0" w:space="0" w:color="auto"/>
            <w:left w:val="none" w:sz="0" w:space="0" w:color="auto"/>
            <w:bottom w:val="none" w:sz="0" w:space="0" w:color="auto"/>
            <w:right w:val="none" w:sz="0" w:space="0" w:color="auto"/>
          </w:divBdr>
          <w:divsChild>
            <w:div w:id="1360620136">
              <w:marLeft w:val="0"/>
              <w:marRight w:val="0"/>
              <w:marTop w:val="0"/>
              <w:marBottom w:val="0"/>
              <w:divBdr>
                <w:top w:val="none" w:sz="0" w:space="0" w:color="auto"/>
                <w:left w:val="none" w:sz="0" w:space="0" w:color="auto"/>
                <w:bottom w:val="none" w:sz="0" w:space="0" w:color="auto"/>
                <w:right w:val="none" w:sz="0" w:space="0" w:color="auto"/>
              </w:divBdr>
            </w:div>
          </w:divsChild>
        </w:div>
        <w:div w:id="1176962095">
          <w:marLeft w:val="0"/>
          <w:marRight w:val="0"/>
          <w:marTop w:val="0"/>
          <w:marBottom w:val="0"/>
          <w:divBdr>
            <w:top w:val="none" w:sz="0" w:space="0" w:color="auto"/>
            <w:left w:val="none" w:sz="0" w:space="0" w:color="auto"/>
            <w:bottom w:val="none" w:sz="0" w:space="0" w:color="auto"/>
            <w:right w:val="none" w:sz="0" w:space="0" w:color="auto"/>
          </w:divBdr>
          <w:divsChild>
            <w:div w:id="1514612706">
              <w:marLeft w:val="0"/>
              <w:marRight w:val="0"/>
              <w:marTop w:val="0"/>
              <w:marBottom w:val="0"/>
              <w:divBdr>
                <w:top w:val="none" w:sz="0" w:space="0" w:color="auto"/>
                <w:left w:val="none" w:sz="0" w:space="0" w:color="auto"/>
                <w:bottom w:val="none" w:sz="0" w:space="0" w:color="auto"/>
                <w:right w:val="none" w:sz="0" w:space="0" w:color="auto"/>
              </w:divBdr>
            </w:div>
          </w:divsChild>
        </w:div>
        <w:div w:id="836850680">
          <w:marLeft w:val="0"/>
          <w:marRight w:val="0"/>
          <w:marTop w:val="0"/>
          <w:marBottom w:val="0"/>
          <w:divBdr>
            <w:top w:val="none" w:sz="0" w:space="0" w:color="auto"/>
            <w:left w:val="none" w:sz="0" w:space="0" w:color="auto"/>
            <w:bottom w:val="none" w:sz="0" w:space="0" w:color="auto"/>
            <w:right w:val="none" w:sz="0" w:space="0" w:color="auto"/>
          </w:divBdr>
          <w:divsChild>
            <w:div w:id="3890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769">
      <w:bodyDiv w:val="1"/>
      <w:marLeft w:val="0"/>
      <w:marRight w:val="0"/>
      <w:marTop w:val="0"/>
      <w:marBottom w:val="0"/>
      <w:divBdr>
        <w:top w:val="none" w:sz="0" w:space="0" w:color="auto"/>
        <w:left w:val="none" w:sz="0" w:space="0" w:color="auto"/>
        <w:bottom w:val="none" w:sz="0" w:space="0" w:color="auto"/>
        <w:right w:val="none" w:sz="0" w:space="0" w:color="auto"/>
      </w:divBdr>
      <w:divsChild>
        <w:div w:id="1592277614">
          <w:marLeft w:val="1440"/>
          <w:marRight w:val="0"/>
          <w:marTop w:val="100"/>
          <w:marBottom w:val="0"/>
          <w:divBdr>
            <w:top w:val="none" w:sz="0" w:space="0" w:color="auto"/>
            <w:left w:val="none" w:sz="0" w:space="0" w:color="auto"/>
            <w:bottom w:val="none" w:sz="0" w:space="0" w:color="auto"/>
            <w:right w:val="none" w:sz="0" w:space="0" w:color="auto"/>
          </w:divBdr>
        </w:div>
      </w:divsChild>
    </w:div>
    <w:div w:id="886994085">
      <w:bodyDiv w:val="1"/>
      <w:marLeft w:val="0"/>
      <w:marRight w:val="0"/>
      <w:marTop w:val="0"/>
      <w:marBottom w:val="0"/>
      <w:divBdr>
        <w:top w:val="none" w:sz="0" w:space="0" w:color="auto"/>
        <w:left w:val="none" w:sz="0" w:space="0" w:color="auto"/>
        <w:bottom w:val="none" w:sz="0" w:space="0" w:color="auto"/>
        <w:right w:val="none" w:sz="0" w:space="0" w:color="auto"/>
      </w:divBdr>
    </w:div>
    <w:div w:id="924151053">
      <w:bodyDiv w:val="1"/>
      <w:marLeft w:val="0"/>
      <w:marRight w:val="0"/>
      <w:marTop w:val="0"/>
      <w:marBottom w:val="0"/>
      <w:divBdr>
        <w:top w:val="none" w:sz="0" w:space="0" w:color="auto"/>
        <w:left w:val="none" w:sz="0" w:space="0" w:color="auto"/>
        <w:bottom w:val="none" w:sz="0" w:space="0" w:color="auto"/>
        <w:right w:val="none" w:sz="0" w:space="0" w:color="auto"/>
      </w:divBdr>
      <w:divsChild>
        <w:div w:id="735933793">
          <w:marLeft w:val="1440"/>
          <w:marRight w:val="0"/>
          <w:marTop w:val="100"/>
          <w:marBottom w:val="0"/>
          <w:divBdr>
            <w:top w:val="none" w:sz="0" w:space="0" w:color="auto"/>
            <w:left w:val="none" w:sz="0" w:space="0" w:color="auto"/>
            <w:bottom w:val="none" w:sz="0" w:space="0" w:color="auto"/>
            <w:right w:val="none" w:sz="0" w:space="0" w:color="auto"/>
          </w:divBdr>
        </w:div>
      </w:divsChild>
    </w:div>
    <w:div w:id="952856856">
      <w:bodyDiv w:val="1"/>
      <w:marLeft w:val="0"/>
      <w:marRight w:val="0"/>
      <w:marTop w:val="0"/>
      <w:marBottom w:val="0"/>
      <w:divBdr>
        <w:top w:val="none" w:sz="0" w:space="0" w:color="auto"/>
        <w:left w:val="none" w:sz="0" w:space="0" w:color="auto"/>
        <w:bottom w:val="none" w:sz="0" w:space="0" w:color="auto"/>
        <w:right w:val="none" w:sz="0" w:space="0" w:color="auto"/>
      </w:divBdr>
    </w:div>
    <w:div w:id="1093478363">
      <w:bodyDiv w:val="1"/>
      <w:marLeft w:val="0"/>
      <w:marRight w:val="0"/>
      <w:marTop w:val="0"/>
      <w:marBottom w:val="0"/>
      <w:divBdr>
        <w:top w:val="none" w:sz="0" w:space="0" w:color="auto"/>
        <w:left w:val="none" w:sz="0" w:space="0" w:color="auto"/>
        <w:bottom w:val="none" w:sz="0" w:space="0" w:color="auto"/>
        <w:right w:val="none" w:sz="0" w:space="0" w:color="auto"/>
      </w:divBdr>
    </w:div>
    <w:div w:id="1100952212">
      <w:bodyDiv w:val="1"/>
      <w:marLeft w:val="0"/>
      <w:marRight w:val="0"/>
      <w:marTop w:val="0"/>
      <w:marBottom w:val="0"/>
      <w:divBdr>
        <w:top w:val="none" w:sz="0" w:space="0" w:color="auto"/>
        <w:left w:val="none" w:sz="0" w:space="0" w:color="auto"/>
        <w:bottom w:val="none" w:sz="0" w:space="0" w:color="auto"/>
        <w:right w:val="none" w:sz="0" w:space="0" w:color="auto"/>
      </w:divBdr>
    </w:div>
    <w:div w:id="1155612073">
      <w:bodyDiv w:val="1"/>
      <w:marLeft w:val="0"/>
      <w:marRight w:val="0"/>
      <w:marTop w:val="0"/>
      <w:marBottom w:val="0"/>
      <w:divBdr>
        <w:top w:val="none" w:sz="0" w:space="0" w:color="auto"/>
        <w:left w:val="none" w:sz="0" w:space="0" w:color="auto"/>
        <w:bottom w:val="none" w:sz="0" w:space="0" w:color="auto"/>
        <w:right w:val="none" w:sz="0" w:space="0" w:color="auto"/>
      </w:divBdr>
    </w:div>
    <w:div w:id="1217742339">
      <w:bodyDiv w:val="1"/>
      <w:marLeft w:val="0"/>
      <w:marRight w:val="0"/>
      <w:marTop w:val="0"/>
      <w:marBottom w:val="0"/>
      <w:divBdr>
        <w:top w:val="none" w:sz="0" w:space="0" w:color="auto"/>
        <w:left w:val="none" w:sz="0" w:space="0" w:color="auto"/>
        <w:bottom w:val="none" w:sz="0" w:space="0" w:color="auto"/>
        <w:right w:val="none" w:sz="0" w:space="0" w:color="auto"/>
      </w:divBdr>
    </w:div>
    <w:div w:id="1234662415">
      <w:bodyDiv w:val="1"/>
      <w:marLeft w:val="0"/>
      <w:marRight w:val="0"/>
      <w:marTop w:val="0"/>
      <w:marBottom w:val="0"/>
      <w:divBdr>
        <w:top w:val="none" w:sz="0" w:space="0" w:color="auto"/>
        <w:left w:val="none" w:sz="0" w:space="0" w:color="auto"/>
        <w:bottom w:val="none" w:sz="0" w:space="0" w:color="auto"/>
        <w:right w:val="none" w:sz="0" w:space="0" w:color="auto"/>
      </w:divBdr>
    </w:div>
    <w:div w:id="1263953095">
      <w:bodyDiv w:val="1"/>
      <w:marLeft w:val="0"/>
      <w:marRight w:val="0"/>
      <w:marTop w:val="0"/>
      <w:marBottom w:val="0"/>
      <w:divBdr>
        <w:top w:val="none" w:sz="0" w:space="0" w:color="auto"/>
        <w:left w:val="none" w:sz="0" w:space="0" w:color="auto"/>
        <w:bottom w:val="none" w:sz="0" w:space="0" w:color="auto"/>
        <w:right w:val="none" w:sz="0" w:space="0" w:color="auto"/>
      </w:divBdr>
    </w:div>
    <w:div w:id="1281181293">
      <w:bodyDiv w:val="1"/>
      <w:marLeft w:val="0"/>
      <w:marRight w:val="0"/>
      <w:marTop w:val="0"/>
      <w:marBottom w:val="0"/>
      <w:divBdr>
        <w:top w:val="none" w:sz="0" w:space="0" w:color="auto"/>
        <w:left w:val="none" w:sz="0" w:space="0" w:color="auto"/>
        <w:bottom w:val="none" w:sz="0" w:space="0" w:color="auto"/>
        <w:right w:val="none" w:sz="0" w:space="0" w:color="auto"/>
      </w:divBdr>
    </w:div>
    <w:div w:id="1384138555">
      <w:bodyDiv w:val="1"/>
      <w:marLeft w:val="0"/>
      <w:marRight w:val="0"/>
      <w:marTop w:val="0"/>
      <w:marBottom w:val="0"/>
      <w:divBdr>
        <w:top w:val="none" w:sz="0" w:space="0" w:color="auto"/>
        <w:left w:val="none" w:sz="0" w:space="0" w:color="auto"/>
        <w:bottom w:val="none" w:sz="0" w:space="0" w:color="auto"/>
        <w:right w:val="none" w:sz="0" w:space="0" w:color="auto"/>
      </w:divBdr>
    </w:div>
    <w:div w:id="1394431289">
      <w:bodyDiv w:val="1"/>
      <w:marLeft w:val="0"/>
      <w:marRight w:val="0"/>
      <w:marTop w:val="0"/>
      <w:marBottom w:val="0"/>
      <w:divBdr>
        <w:top w:val="none" w:sz="0" w:space="0" w:color="auto"/>
        <w:left w:val="none" w:sz="0" w:space="0" w:color="auto"/>
        <w:bottom w:val="none" w:sz="0" w:space="0" w:color="auto"/>
        <w:right w:val="none" w:sz="0" w:space="0" w:color="auto"/>
      </w:divBdr>
    </w:div>
    <w:div w:id="1633317513">
      <w:bodyDiv w:val="1"/>
      <w:marLeft w:val="0"/>
      <w:marRight w:val="0"/>
      <w:marTop w:val="0"/>
      <w:marBottom w:val="0"/>
      <w:divBdr>
        <w:top w:val="none" w:sz="0" w:space="0" w:color="auto"/>
        <w:left w:val="none" w:sz="0" w:space="0" w:color="auto"/>
        <w:bottom w:val="none" w:sz="0" w:space="0" w:color="auto"/>
        <w:right w:val="none" w:sz="0" w:space="0" w:color="auto"/>
      </w:divBdr>
    </w:div>
    <w:div w:id="1697995976">
      <w:bodyDiv w:val="1"/>
      <w:marLeft w:val="0"/>
      <w:marRight w:val="0"/>
      <w:marTop w:val="0"/>
      <w:marBottom w:val="0"/>
      <w:divBdr>
        <w:top w:val="none" w:sz="0" w:space="0" w:color="auto"/>
        <w:left w:val="none" w:sz="0" w:space="0" w:color="auto"/>
        <w:bottom w:val="none" w:sz="0" w:space="0" w:color="auto"/>
        <w:right w:val="none" w:sz="0" w:space="0" w:color="auto"/>
      </w:divBdr>
    </w:div>
    <w:div w:id="1734960294">
      <w:bodyDiv w:val="1"/>
      <w:marLeft w:val="0"/>
      <w:marRight w:val="0"/>
      <w:marTop w:val="0"/>
      <w:marBottom w:val="0"/>
      <w:divBdr>
        <w:top w:val="none" w:sz="0" w:space="0" w:color="auto"/>
        <w:left w:val="none" w:sz="0" w:space="0" w:color="auto"/>
        <w:bottom w:val="none" w:sz="0" w:space="0" w:color="auto"/>
        <w:right w:val="none" w:sz="0" w:space="0" w:color="auto"/>
      </w:divBdr>
      <w:divsChild>
        <w:div w:id="1180924114">
          <w:marLeft w:val="0"/>
          <w:marRight w:val="0"/>
          <w:marTop w:val="0"/>
          <w:marBottom w:val="0"/>
          <w:divBdr>
            <w:top w:val="none" w:sz="0" w:space="0" w:color="auto"/>
            <w:left w:val="none" w:sz="0" w:space="0" w:color="auto"/>
            <w:bottom w:val="none" w:sz="0" w:space="0" w:color="auto"/>
            <w:right w:val="none" w:sz="0" w:space="0" w:color="auto"/>
          </w:divBdr>
        </w:div>
        <w:div w:id="200633866">
          <w:marLeft w:val="0"/>
          <w:marRight w:val="0"/>
          <w:marTop w:val="0"/>
          <w:marBottom w:val="0"/>
          <w:divBdr>
            <w:top w:val="none" w:sz="0" w:space="0" w:color="auto"/>
            <w:left w:val="none" w:sz="0" w:space="0" w:color="auto"/>
            <w:bottom w:val="none" w:sz="0" w:space="0" w:color="auto"/>
            <w:right w:val="none" w:sz="0" w:space="0" w:color="auto"/>
          </w:divBdr>
          <w:divsChild>
            <w:div w:id="211961151">
              <w:marLeft w:val="-75"/>
              <w:marRight w:val="0"/>
              <w:marTop w:val="30"/>
              <w:marBottom w:val="30"/>
              <w:divBdr>
                <w:top w:val="none" w:sz="0" w:space="0" w:color="auto"/>
                <w:left w:val="none" w:sz="0" w:space="0" w:color="auto"/>
                <w:bottom w:val="none" w:sz="0" w:space="0" w:color="auto"/>
                <w:right w:val="none" w:sz="0" w:space="0" w:color="auto"/>
              </w:divBdr>
              <w:divsChild>
                <w:div w:id="921796120">
                  <w:marLeft w:val="0"/>
                  <w:marRight w:val="0"/>
                  <w:marTop w:val="0"/>
                  <w:marBottom w:val="0"/>
                  <w:divBdr>
                    <w:top w:val="none" w:sz="0" w:space="0" w:color="auto"/>
                    <w:left w:val="none" w:sz="0" w:space="0" w:color="auto"/>
                    <w:bottom w:val="none" w:sz="0" w:space="0" w:color="auto"/>
                    <w:right w:val="none" w:sz="0" w:space="0" w:color="auto"/>
                  </w:divBdr>
                  <w:divsChild>
                    <w:div w:id="917131334">
                      <w:marLeft w:val="0"/>
                      <w:marRight w:val="0"/>
                      <w:marTop w:val="0"/>
                      <w:marBottom w:val="0"/>
                      <w:divBdr>
                        <w:top w:val="none" w:sz="0" w:space="0" w:color="auto"/>
                        <w:left w:val="none" w:sz="0" w:space="0" w:color="auto"/>
                        <w:bottom w:val="none" w:sz="0" w:space="0" w:color="auto"/>
                        <w:right w:val="none" w:sz="0" w:space="0" w:color="auto"/>
                      </w:divBdr>
                    </w:div>
                  </w:divsChild>
                </w:div>
                <w:div w:id="85657301">
                  <w:marLeft w:val="0"/>
                  <w:marRight w:val="0"/>
                  <w:marTop w:val="0"/>
                  <w:marBottom w:val="0"/>
                  <w:divBdr>
                    <w:top w:val="none" w:sz="0" w:space="0" w:color="auto"/>
                    <w:left w:val="none" w:sz="0" w:space="0" w:color="auto"/>
                    <w:bottom w:val="none" w:sz="0" w:space="0" w:color="auto"/>
                    <w:right w:val="none" w:sz="0" w:space="0" w:color="auto"/>
                  </w:divBdr>
                  <w:divsChild>
                    <w:div w:id="2092045240">
                      <w:marLeft w:val="0"/>
                      <w:marRight w:val="0"/>
                      <w:marTop w:val="0"/>
                      <w:marBottom w:val="0"/>
                      <w:divBdr>
                        <w:top w:val="none" w:sz="0" w:space="0" w:color="auto"/>
                        <w:left w:val="none" w:sz="0" w:space="0" w:color="auto"/>
                        <w:bottom w:val="none" w:sz="0" w:space="0" w:color="auto"/>
                        <w:right w:val="none" w:sz="0" w:space="0" w:color="auto"/>
                      </w:divBdr>
                    </w:div>
                  </w:divsChild>
                </w:div>
                <w:div w:id="1831750713">
                  <w:marLeft w:val="0"/>
                  <w:marRight w:val="0"/>
                  <w:marTop w:val="0"/>
                  <w:marBottom w:val="0"/>
                  <w:divBdr>
                    <w:top w:val="none" w:sz="0" w:space="0" w:color="auto"/>
                    <w:left w:val="none" w:sz="0" w:space="0" w:color="auto"/>
                    <w:bottom w:val="none" w:sz="0" w:space="0" w:color="auto"/>
                    <w:right w:val="none" w:sz="0" w:space="0" w:color="auto"/>
                  </w:divBdr>
                  <w:divsChild>
                    <w:div w:id="501431336">
                      <w:marLeft w:val="0"/>
                      <w:marRight w:val="0"/>
                      <w:marTop w:val="0"/>
                      <w:marBottom w:val="0"/>
                      <w:divBdr>
                        <w:top w:val="none" w:sz="0" w:space="0" w:color="auto"/>
                        <w:left w:val="none" w:sz="0" w:space="0" w:color="auto"/>
                        <w:bottom w:val="none" w:sz="0" w:space="0" w:color="auto"/>
                        <w:right w:val="none" w:sz="0" w:space="0" w:color="auto"/>
                      </w:divBdr>
                    </w:div>
                  </w:divsChild>
                </w:div>
                <w:div w:id="199126040">
                  <w:marLeft w:val="0"/>
                  <w:marRight w:val="0"/>
                  <w:marTop w:val="0"/>
                  <w:marBottom w:val="0"/>
                  <w:divBdr>
                    <w:top w:val="none" w:sz="0" w:space="0" w:color="auto"/>
                    <w:left w:val="none" w:sz="0" w:space="0" w:color="auto"/>
                    <w:bottom w:val="none" w:sz="0" w:space="0" w:color="auto"/>
                    <w:right w:val="none" w:sz="0" w:space="0" w:color="auto"/>
                  </w:divBdr>
                  <w:divsChild>
                    <w:div w:id="933783239">
                      <w:marLeft w:val="0"/>
                      <w:marRight w:val="0"/>
                      <w:marTop w:val="0"/>
                      <w:marBottom w:val="0"/>
                      <w:divBdr>
                        <w:top w:val="none" w:sz="0" w:space="0" w:color="auto"/>
                        <w:left w:val="none" w:sz="0" w:space="0" w:color="auto"/>
                        <w:bottom w:val="none" w:sz="0" w:space="0" w:color="auto"/>
                        <w:right w:val="none" w:sz="0" w:space="0" w:color="auto"/>
                      </w:divBdr>
                    </w:div>
                  </w:divsChild>
                </w:div>
                <w:div w:id="919757771">
                  <w:marLeft w:val="0"/>
                  <w:marRight w:val="0"/>
                  <w:marTop w:val="0"/>
                  <w:marBottom w:val="0"/>
                  <w:divBdr>
                    <w:top w:val="none" w:sz="0" w:space="0" w:color="auto"/>
                    <w:left w:val="none" w:sz="0" w:space="0" w:color="auto"/>
                    <w:bottom w:val="none" w:sz="0" w:space="0" w:color="auto"/>
                    <w:right w:val="none" w:sz="0" w:space="0" w:color="auto"/>
                  </w:divBdr>
                  <w:divsChild>
                    <w:div w:id="242565132">
                      <w:marLeft w:val="0"/>
                      <w:marRight w:val="0"/>
                      <w:marTop w:val="0"/>
                      <w:marBottom w:val="0"/>
                      <w:divBdr>
                        <w:top w:val="none" w:sz="0" w:space="0" w:color="auto"/>
                        <w:left w:val="none" w:sz="0" w:space="0" w:color="auto"/>
                        <w:bottom w:val="none" w:sz="0" w:space="0" w:color="auto"/>
                        <w:right w:val="none" w:sz="0" w:space="0" w:color="auto"/>
                      </w:divBdr>
                    </w:div>
                  </w:divsChild>
                </w:div>
                <w:div w:id="1631012465">
                  <w:marLeft w:val="0"/>
                  <w:marRight w:val="0"/>
                  <w:marTop w:val="0"/>
                  <w:marBottom w:val="0"/>
                  <w:divBdr>
                    <w:top w:val="none" w:sz="0" w:space="0" w:color="auto"/>
                    <w:left w:val="none" w:sz="0" w:space="0" w:color="auto"/>
                    <w:bottom w:val="none" w:sz="0" w:space="0" w:color="auto"/>
                    <w:right w:val="none" w:sz="0" w:space="0" w:color="auto"/>
                  </w:divBdr>
                  <w:divsChild>
                    <w:div w:id="2056659729">
                      <w:marLeft w:val="0"/>
                      <w:marRight w:val="0"/>
                      <w:marTop w:val="0"/>
                      <w:marBottom w:val="0"/>
                      <w:divBdr>
                        <w:top w:val="none" w:sz="0" w:space="0" w:color="auto"/>
                        <w:left w:val="none" w:sz="0" w:space="0" w:color="auto"/>
                        <w:bottom w:val="none" w:sz="0" w:space="0" w:color="auto"/>
                        <w:right w:val="none" w:sz="0" w:space="0" w:color="auto"/>
                      </w:divBdr>
                    </w:div>
                  </w:divsChild>
                </w:div>
                <w:div w:id="784228829">
                  <w:marLeft w:val="0"/>
                  <w:marRight w:val="0"/>
                  <w:marTop w:val="0"/>
                  <w:marBottom w:val="0"/>
                  <w:divBdr>
                    <w:top w:val="none" w:sz="0" w:space="0" w:color="auto"/>
                    <w:left w:val="none" w:sz="0" w:space="0" w:color="auto"/>
                    <w:bottom w:val="none" w:sz="0" w:space="0" w:color="auto"/>
                    <w:right w:val="none" w:sz="0" w:space="0" w:color="auto"/>
                  </w:divBdr>
                  <w:divsChild>
                    <w:div w:id="2046060893">
                      <w:marLeft w:val="0"/>
                      <w:marRight w:val="0"/>
                      <w:marTop w:val="0"/>
                      <w:marBottom w:val="0"/>
                      <w:divBdr>
                        <w:top w:val="none" w:sz="0" w:space="0" w:color="auto"/>
                        <w:left w:val="none" w:sz="0" w:space="0" w:color="auto"/>
                        <w:bottom w:val="none" w:sz="0" w:space="0" w:color="auto"/>
                        <w:right w:val="none" w:sz="0" w:space="0" w:color="auto"/>
                      </w:divBdr>
                    </w:div>
                  </w:divsChild>
                </w:div>
                <w:div w:id="1229264419">
                  <w:marLeft w:val="0"/>
                  <w:marRight w:val="0"/>
                  <w:marTop w:val="0"/>
                  <w:marBottom w:val="0"/>
                  <w:divBdr>
                    <w:top w:val="none" w:sz="0" w:space="0" w:color="auto"/>
                    <w:left w:val="none" w:sz="0" w:space="0" w:color="auto"/>
                    <w:bottom w:val="none" w:sz="0" w:space="0" w:color="auto"/>
                    <w:right w:val="none" w:sz="0" w:space="0" w:color="auto"/>
                  </w:divBdr>
                  <w:divsChild>
                    <w:div w:id="44573577">
                      <w:marLeft w:val="0"/>
                      <w:marRight w:val="0"/>
                      <w:marTop w:val="0"/>
                      <w:marBottom w:val="0"/>
                      <w:divBdr>
                        <w:top w:val="none" w:sz="0" w:space="0" w:color="auto"/>
                        <w:left w:val="none" w:sz="0" w:space="0" w:color="auto"/>
                        <w:bottom w:val="none" w:sz="0" w:space="0" w:color="auto"/>
                        <w:right w:val="none" w:sz="0" w:space="0" w:color="auto"/>
                      </w:divBdr>
                    </w:div>
                  </w:divsChild>
                </w:div>
                <w:div w:id="2020769630">
                  <w:marLeft w:val="0"/>
                  <w:marRight w:val="0"/>
                  <w:marTop w:val="0"/>
                  <w:marBottom w:val="0"/>
                  <w:divBdr>
                    <w:top w:val="none" w:sz="0" w:space="0" w:color="auto"/>
                    <w:left w:val="none" w:sz="0" w:space="0" w:color="auto"/>
                    <w:bottom w:val="none" w:sz="0" w:space="0" w:color="auto"/>
                    <w:right w:val="none" w:sz="0" w:space="0" w:color="auto"/>
                  </w:divBdr>
                  <w:divsChild>
                    <w:div w:id="1053696195">
                      <w:marLeft w:val="0"/>
                      <w:marRight w:val="0"/>
                      <w:marTop w:val="0"/>
                      <w:marBottom w:val="0"/>
                      <w:divBdr>
                        <w:top w:val="none" w:sz="0" w:space="0" w:color="auto"/>
                        <w:left w:val="none" w:sz="0" w:space="0" w:color="auto"/>
                        <w:bottom w:val="none" w:sz="0" w:space="0" w:color="auto"/>
                        <w:right w:val="none" w:sz="0" w:space="0" w:color="auto"/>
                      </w:divBdr>
                    </w:div>
                  </w:divsChild>
                </w:div>
                <w:div w:id="1408764288">
                  <w:marLeft w:val="0"/>
                  <w:marRight w:val="0"/>
                  <w:marTop w:val="0"/>
                  <w:marBottom w:val="0"/>
                  <w:divBdr>
                    <w:top w:val="none" w:sz="0" w:space="0" w:color="auto"/>
                    <w:left w:val="none" w:sz="0" w:space="0" w:color="auto"/>
                    <w:bottom w:val="none" w:sz="0" w:space="0" w:color="auto"/>
                    <w:right w:val="none" w:sz="0" w:space="0" w:color="auto"/>
                  </w:divBdr>
                  <w:divsChild>
                    <w:div w:id="1578127191">
                      <w:marLeft w:val="0"/>
                      <w:marRight w:val="0"/>
                      <w:marTop w:val="0"/>
                      <w:marBottom w:val="0"/>
                      <w:divBdr>
                        <w:top w:val="none" w:sz="0" w:space="0" w:color="auto"/>
                        <w:left w:val="none" w:sz="0" w:space="0" w:color="auto"/>
                        <w:bottom w:val="none" w:sz="0" w:space="0" w:color="auto"/>
                        <w:right w:val="none" w:sz="0" w:space="0" w:color="auto"/>
                      </w:divBdr>
                    </w:div>
                  </w:divsChild>
                </w:div>
                <w:div w:id="111824164">
                  <w:marLeft w:val="0"/>
                  <w:marRight w:val="0"/>
                  <w:marTop w:val="0"/>
                  <w:marBottom w:val="0"/>
                  <w:divBdr>
                    <w:top w:val="none" w:sz="0" w:space="0" w:color="auto"/>
                    <w:left w:val="none" w:sz="0" w:space="0" w:color="auto"/>
                    <w:bottom w:val="none" w:sz="0" w:space="0" w:color="auto"/>
                    <w:right w:val="none" w:sz="0" w:space="0" w:color="auto"/>
                  </w:divBdr>
                  <w:divsChild>
                    <w:div w:id="248463284">
                      <w:marLeft w:val="0"/>
                      <w:marRight w:val="0"/>
                      <w:marTop w:val="0"/>
                      <w:marBottom w:val="0"/>
                      <w:divBdr>
                        <w:top w:val="none" w:sz="0" w:space="0" w:color="auto"/>
                        <w:left w:val="none" w:sz="0" w:space="0" w:color="auto"/>
                        <w:bottom w:val="none" w:sz="0" w:space="0" w:color="auto"/>
                        <w:right w:val="none" w:sz="0" w:space="0" w:color="auto"/>
                      </w:divBdr>
                    </w:div>
                  </w:divsChild>
                </w:div>
                <w:div w:id="1104229530">
                  <w:marLeft w:val="0"/>
                  <w:marRight w:val="0"/>
                  <w:marTop w:val="0"/>
                  <w:marBottom w:val="0"/>
                  <w:divBdr>
                    <w:top w:val="none" w:sz="0" w:space="0" w:color="auto"/>
                    <w:left w:val="none" w:sz="0" w:space="0" w:color="auto"/>
                    <w:bottom w:val="none" w:sz="0" w:space="0" w:color="auto"/>
                    <w:right w:val="none" w:sz="0" w:space="0" w:color="auto"/>
                  </w:divBdr>
                  <w:divsChild>
                    <w:div w:id="1915821263">
                      <w:marLeft w:val="0"/>
                      <w:marRight w:val="0"/>
                      <w:marTop w:val="0"/>
                      <w:marBottom w:val="0"/>
                      <w:divBdr>
                        <w:top w:val="none" w:sz="0" w:space="0" w:color="auto"/>
                        <w:left w:val="none" w:sz="0" w:space="0" w:color="auto"/>
                        <w:bottom w:val="none" w:sz="0" w:space="0" w:color="auto"/>
                        <w:right w:val="none" w:sz="0" w:space="0" w:color="auto"/>
                      </w:divBdr>
                    </w:div>
                  </w:divsChild>
                </w:div>
                <w:div w:id="1699040534">
                  <w:marLeft w:val="0"/>
                  <w:marRight w:val="0"/>
                  <w:marTop w:val="0"/>
                  <w:marBottom w:val="0"/>
                  <w:divBdr>
                    <w:top w:val="none" w:sz="0" w:space="0" w:color="auto"/>
                    <w:left w:val="none" w:sz="0" w:space="0" w:color="auto"/>
                    <w:bottom w:val="none" w:sz="0" w:space="0" w:color="auto"/>
                    <w:right w:val="none" w:sz="0" w:space="0" w:color="auto"/>
                  </w:divBdr>
                  <w:divsChild>
                    <w:div w:id="369301329">
                      <w:marLeft w:val="0"/>
                      <w:marRight w:val="0"/>
                      <w:marTop w:val="0"/>
                      <w:marBottom w:val="0"/>
                      <w:divBdr>
                        <w:top w:val="none" w:sz="0" w:space="0" w:color="auto"/>
                        <w:left w:val="none" w:sz="0" w:space="0" w:color="auto"/>
                        <w:bottom w:val="none" w:sz="0" w:space="0" w:color="auto"/>
                        <w:right w:val="none" w:sz="0" w:space="0" w:color="auto"/>
                      </w:divBdr>
                    </w:div>
                    <w:div w:id="196820492">
                      <w:marLeft w:val="0"/>
                      <w:marRight w:val="0"/>
                      <w:marTop w:val="0"/>
                      <w:marBottom w:val="0"/>
                      <w:divBdr>
                        <w:top w:val="none" w:sz="0" w:space="0" w:color="auto"/>
                        <w:left w:val="none" w:sz="0" w:space="0" w:color="auto"/>
                        <w:bottom w:val="none" w:sz="0" w:space="0" w:color="auto"/>
                        <w:right w:val="none" w:sz="0" w:space="0" w:color="auto"/>
                      </w:divBdr>
                    </w:div>
                  </w:divsChild>
                </w:div>
                <w:div w:id="612782401">
                  <w:marLeft w:val="0"/>
                  <w:marRight w:val="0"/>
                  <w:marTop w:val="0"/>
                  <w:marBottom w:val="0"/>
                  <w:divBdr>
                    <w:top w:val="none" w:sz="0" w:space="0" w:color="auto"/>
                    <w:left w:val="none" w:sz="0" w:space="0" w:color="auto"/>
                    <w:bottom w:val="none" w:sz="0" w:space="0" w:color="auto"/>
                    <w:right w:val="none" w:sz="0" w:space="0" w:color="auto"/>
                  </w:divBdr>
                  <w:divsChild>
                    <w:div w:id="1739282452">
                      <w:marLeft w:val="0"/>
                      <w:marRight w:val="0"/>
                      <w:marTop w:val="0"/>
                      <w:marBottom w:val="0"/>
                      <w:divBdr>
                        <w:top w:val="none" w:sz="0" w:space="0" w:color="auto"/>
                        <w:left w:val="none" w:sz="0" w:space="0" w:color="auto"/>
                        <w:bottom w:val="none" w:sz="0" w:space="0" w:color="auto"/>
                        <w:right w:val="none" w:sz="0" w:space="0" w:color="auto"/>
                      </w:divBdr>
                    </w:div>
                  </w:divsChild>
                </w:div>
                <w:div w:id="963928207">
                  <w:marLeft w:val="0"/>
                  <w:marRight w:val="0"/>
                  <w:marTop w:val="0"/>
                  <w:marBottom w:val="0"/>
                  <w:divBdr>
                    <w:top w:val="none" w:sz="0" w:space="0" w:color="auto"/>
                    <w:left w:val="none" w:sz="0" w:space="0" w:color="auto"/>
                    <w:bottom w:val="none" w:sz="0" w:space="0" w:color="auto"/>
                    <w:right w:val="none" w:sz="0" w:space="0" w:color="auto"/>
                  </w:divBdr>
                  <w:divsChild>
                    <w:div w:id="1259018001">
                      <w:marLeft w:val="0"/>
                      <w:marRight w:val="0"/>
                      <w:marTop w:val="0"/>
                      <w:marBottom w:val="0"/>
                      <w:divBdr>
                        <w:top w:val="none" w:sz="0" w:space="0" w:color="auto"/>
                        <w:left w:val="none" w:sz="0" w:space="0" w:color="auto"/>
                        <w:bottom w:val="none" w:sz="0" w:space="0" w:color="auto"/>
                        <w:right w:val="none" w:sz="0" w:space="0" w:color="auto"/>
                      </w:divBdr>
                    </w:div>
                    <w:div w:id="1947732714">
                      <w:marLeft w:val="0"/>
                      <w:marRight w:val="0"/>
                      <w:marTop w:val="0"/>
                      <w:marBottom w:val="0"/>
                      <w:divBdr>
                        <w:top w:val="none" w:sz="0" w:space="0" w:color="auto"/>
                        <w:left w:val="none" w:sz="0" w:space="0" w:color="auto"/>
                        <w:bottom w:val="none" w:sz="0" w:space="0" w:color="auto"/>
                        <w:right w:val="none" w:sz="0" w:space="0" w:color="auto"/>
                      </w:divBdr>
                    </w:div>
                  </w:divsChild>
                </w:div>
                <w:div w:id="296880979">
                  <w:marLeft w:val="0"/>
                  <w:marRight w:val="0"/>
                  <w:marTop w:val="0"/>
                  <w:marBottom w:val="0"/>
                  <w:divBdr>
                    <w:top w:val="none" w:sz="0" w:space="0" w:color="auto"/>
                    <w:left w:val="none" w:sz="0" w:space="0" w:color="auto"/>
                    <w:bottom w:val="none" w:sz="0" w:space="0" w:color="auto"/>
                    <w:right w:val="none" w:sz="0" w:space="0" w:color="auto"/>
                  </w:divBdr>
                  <w:divsChild>
                    <w:div w:id="1859390515">
                      <w:marLeft w:val="0"/>
                      <w:marRight w:val="0"/>
                      <w:marTop w:val="0"/>
                      <w:marBottom w:val="0"/>
                      <w:divBdr>
                        <w:top w:val="none" w:sz="0" w:space="0" w:color="auto"/>
                        <w:left w:val="none" w:sz="0" w:space="0" w:color="auto"/>
                        <w:bottom w:val="none" w:sz="0" w:space="0" w:color="auto"/>
                        <w:right w:val="none" w:sz="0" w:space="0" w:color="auto"/>
                      </w:divBdr>
                    </w:div>
                  </w:divsChild>
                </w:div>
                <w:div w:id="779303407">
                  <w:marLeft w:val="0"/>
                  <w:marRight w:val="0"/>
                  <w:marTop w:val="0"/>
                  <w:marBottom w:val="0"/>
                  <w:divBdr>
                    <w:top w:val="none" w:sz="0" w:space="0" w:color="auto"/>
                    <w:left w:val="none" w:sz="0" w:space="0" w:color="auto"/>
                    <w:bottom w:val="none" w:sz="0" w:space="0" w:color="auto"/>
                    <w:right w:val="none" w:sz="0" w:space="0" w:color="auto"/>
                  </w:divBdr>
                  <w:divsChild>
                    <w:div w:id="83503324">
                      <w:marLeft w:val="0"/>
                      <w:marRight w:val="0"/>
                      <w:marTop w:val="0"/>
                      <w:marBottom w:val="0"/>
                      <w:divBdr>
                        <w:top w:val="none" w:sz="0" w:space="0" w:color="auto"/>
                        <w:left w:val="none" w:sz="0" w:space="0" w:color="auto"/>
                        <w:bottom w:val="none" w:sz="0" w:space="0" w:color="auto"/>
                        <w:right w:val="none" w:sz="0" w:space="0" w:color="auto"/>
                      </w:divBdr>
                    </w:div>
                    <w:div w:id="240482834">
                      <w:marLeft w:val="0"/>
                      <w:marRight w:val="0"/>
                      <w:marTop w:val="0"/>
                      <w:marBottom w:val="0"/>
                      <w:divBdr>
                        <w:top w:val="none" w:sz="0" w:space="0" w:color="auto"/>
                        <w:left w:val="none" w:sz="0" w:space="0" w:color="auto"/>
                        <w:bottom w:val="none" w:sz="0" w:space="0" w:color="auto"/>
                        <w:right w:val="none" w:sz="0" w:space="0" w:color="auto"/>
                      </w:divBdr>
                    </w:div>
                  </w:divsChild>
                </w:div>
                <w:div w:id="331374082">
                  <w:marLeft w:val="0"/>
                  <w:marRight w:val="0"/>
                  <w:marTop w:val="0"/>
                  <w:marBottom w:val="0"/>
                  <w:divBdr>
                    <w:top w:val="none" w:sz="0" w:space="0" w:color="auto"/>
                    <w:left w:val="none" w:sz="0" w:space="0" w:color="auto"/>
                    <w:bottom w:val="none" w:sz="0" w:space="0" w:color="auto"/>
                    <w:right w:val="none" w:sz="0" w:space="0" w:color="auto"/>
                  </w:divBdr>
                  <w:divsChild>
                    <w:div w:id="324819695">
                      <w:marLeft w:val="0"/>
                      <w:marRight w:val="0"/>
                      <w:marTop w:val="0"/>
                      <w:marBottom w:val="0"/>
                      <w:divBdr>
                        <w:top w:val="none" w:sz="0" w:space="0" w:color="auto"/>
                        <w:left w:val="none" w:sz="0" w:space="0" w:color="auto"/>
                        <w:bottom w:val="none" w:sz="0" w:space="0" w:color="auto"/>
                        <w:right w:val="none" w:sz="0" w:space="0" w:color="auto"/>
                      </w:divBdr>
                    </w:div>
                  </w:divsChild>
                </w:div>
                <w:div w:id="1954630445">
                  <w:marLeft w:val="0"/>
                  <w:marRight w:val="0"/>
                  <w:marTop w:val="0"/>
                  <w:marBottom w:val="0"/>
                  <w:divBdr>
                    <w:top w:val="none" w:sz="0" w:space="0" w:color="auto"/>
                    <w:left w:val="none" w:sz="0" w:space="0" w:color="auto"/>
                    <w:bottom w:val="none" w:sz="0" w:space="0" w:color="auto"/>
                    <w:right w:val="none" w:sz="0" w:space="0" w:color="auto"/>
                  </w:divBdr>
                  <w:divsChild>
                    <w:div w:id="243078308">
                      <w:marLeft w:val="0"/>
                      <w:marRight w:val="0"/>
                      <w:marTop w:val="0"/>
                      <w:marBottom w:val="0"/>
                      <w:divBdr>
                        <w:top w:val="none" w:sz="0" w:space="0" w:color="auto"/>
                        <w:left w:val="none" w:sz="0" w:space="0" w:color="auto"/>
                        <w:bottom w:val="none" w:sz="0" w:space="0" w:color="auto"/>
                        <w:right w:val="none" w:sz="0" w:space="0" w:color="auto"/>
                      </w:divBdr>
                    </w:div>
                  </w:divsChild>
                </w:div>
                <w:div w:id="1577587687">
                  <w:marLeft w:val="0"/>
                  <w:marRight w:val="0"/>
                  <w:marTop w:val="0"/>
                  <w:marBottom w:val="0"/>
                  <w:divBdr>
                    <w:top w:val="none" w:sz="0" w:space="0" w:color="auto"/>
                    <w:left w:val="none" w:sz="0" w:space="0" w:color="auto"/>
                    <w:bottom w:val="none" w:sz="0" w:space="0" w:color="auto"/>
                    <w:right w:val="none" w:sz="0" w:space="0" w:color="auto"/>
                  </w:divBdr>
                  <w:divsChild>
                    <w:div w:id="263806512">
                      <w:marLeft w:val="0"/>
                      <w:marRight w:val="0"/>
                      <w:marTop w:val="0"/>
                      <w:marBottom w:val="0"/>
                      <w:divBdr>
                        <w:top w:val="none" w:sz="0" w:space="0" w:color="auto"/>
                        <w:left w:val="none" w:sz="0" w:space="0" w:color="auto"/>
                        <w:bottom w:val="none" w:sz="0" w:space="0" w:color="auto"/>
                        <w:right w:val="none" w:sz="0" w:space="0" w:color="auto"/>
                      </w:divBdr>
                    </w:div>
                    <w:div w:id="1770664742">
                      <w:marLeft w:val="0"/>
                      <w:marRight w:val="0"/>
                      <w:marTop w:val="0"/>
                      <w:marBottom w:val="0"/>
                      <w:divBdr>
                        <w:top w:val="none" w:sz="0" w:space="0" w:color="auto"/>
                        <w:left w:val="none" w:sz="0" w:space="0" w:color="auto"/>
                        <w:bottom w:val="none" w:sz="0" w:space="0" w:color="auto"/>
                        <w:right w:val="none" w:sz="0" w:space="0" w:color="auto"/>
                      </w:divBdr>
                    </w:div>
                  </w:divsChild>
                </w:div>
                <w:div w:id="510023472">
                  <w:marLeft w:val="0"/>
                  <w:marRight w:val="0"/>
                  <w:marTop w:val="0"/>
                  <w:marBottom w:val="0"/>
                  <w:divBdr>
                    <w:top w:val="none" w:sz="0" w:space="0" w:color="auto"/>
                    <w:left w:val="none" w:sz="0" w:space="0" w:color="auto"/>
                    <w:bottom w:val="none" w:sz="0" w:space="0" w:color="auto"/>
                    <w:right w:val="none" w:sz="0" w:space="0" w:color="auto"/>
                  </w:divBdr>
                  <w:divsChild>
                    <w:div w:id="26568115">
                      <w:marLeft w:val="0"/>
                      <w:marRight w:val="0"/>
                      <w:marTop w:val="0"/>
                      <w:marBottom w:val="0"/>
                      <w:divBdr>
                        <w:top w:val="none" w:sz="0" w:space="0" w:color="auto"/>
                        <w:left w:val="none" w:sz="0" w:space="0" w:color="auto"/>
                        <w:bottom w:val="none" w:sz="0" w:space="0" w:color="auto"/>
                        <w:right w:val="none" w:sz="0" w:space="0" w:color="auto"/>
                      </w:divBdr>
                    </w:div>
                  </w:divsChild>
                </w:div>
                <w:div w:id="1008217753">
                  <w:marLeft w:val="0"/>
                  <w:marRight w:val="0"/>
                  <w:marTop w:val="0"/>
                  <w:marBottom w:val="0"/>
                  <w:divBdr>
                    <w:top w:val="none" w:sz="0" w:space="0" w:color="auto"/>
                    <w:left w:val="none" w:sz="0" w:space="0" w:color="auto"/>
                    <w:bottom w:val="none" w:sz="0" w:space="0" w:color="auto"/>
                    <w:right w:val="none" w:sz="0" w:space="0" w:color="auto"/>
                  </w:divBdr>
                  <w:divsChild>
                    <w:div w:id="1827742951">
                      <w:marLeft w:val="0"/>
                      <w:marRight w:val="0"/>
                      <w:marTop w:val="0"/>
                      <w:marBottom w:val="0"/>
                      <w:divBdr>
                        <w:top w:val="none" w:sz="0" w:space="0" w:color="auto"/>
                        <w:left w:val="none" w:sz="0" w:space="0" w:color="auto"/>
                        <w:bottom w:val="none" w:sz="0" w:space="0" w:color="auto"/>
                        <w:right w:val="none" w:sz="0" w:space="0" w:color="auto"/>
                      </w:divBdr>
                    </w:div>
                    <w:div w:id="1178886002">
                      <w:marLeft w:val="0"/>
                      <w:marRight w:val="0"/>
                      <w:marTop w:val="0"/>
                      <w:marBottom w:val="0"/>
                      <w:divBdr>
                        <w:top w:val="none" w:sz="0" w:space="0" w:color="auto"/>
                        <w:left w:val="none" w:sz="0" w:space="0" w:color="auto"/>
                        <w:bottom w:val="none" w:sz="0" w:space="0" w:color="auto"/>
                        <w:right w:val="none" w:sz="0" w:space="0" w:color="auto"/>
                      </w:divBdr>
                    </w:div>
                  </w:divsChild>
                </w:div>
                <w:div w:id="1793086322">
                  <w:marLeft w:val="0"/>
                  <w:marRight w:val="0"/>
                  <w:marTop w:val="0"/>
                  <w:marBottom w:val="0"/>
                  <w:divBdr>
                    <w:top w:val="none" w:sz="0" w:space="0" w:color="auto"/>
                    <w:left w:val="none" w:sz="0" w:space="0" w:color="auto"/>
                    <w:bottom w:val="none" w:sz="0" w:space="0" w:color="auto"/>
                    <w:right w:val="none" w:sz="0" w:space="0" w:color="auto"/>
                  </w:divBdr>
                  <w:divsChild>
                    <w:div w:id="1071585051">
                      <w:marLeft w:val="0"/>
                      <w:marRight w:val="0"/>
                      <w:marTop w:val="0"/>
                      <w:marBottom w:val="0"/>
                      <w:divBdr>
                        <w:top w:val="none" w:sz="0" w:space="0" w:color="auto"/>
                        <w:left w:val="none" w:sz="0" w:space="0" w:color="auto"/>
                        <w:bottom w:val="none" w:sz="0" w:space="0" w:color="auto"/>
                        <w:right w:val="none" w:sz="0" w:space="0" w:color="auto"/>
                      </w:divBdr>
                    </w:div>
                  </w:divsChild>
                </w:div>
                <w:div w:id="777717753">
                  <w:marLeft w:val="0"/>
                  <w:marRight w:val="0"/>
                  <w:marTop w:val="0"/>
                  <w:marBottom w:val="0"/>
                  <w:divBdr>
                    <w:top w:val="none" w:sz="0" w:space="0" w:color="auto"/>
                    <w:left w:val="none" w:sz="0" w:space="0" w:color="auto"/>
                    <w:bottom w:val="none" w:sz="0" w:space="0" w:color="auto"/>
                    <w:right w:val="none" w:sz="0" w:space="0" w:color="auto"/>
                  </w:divBdr>
                  <w:divsChild>
                    <w:div w:id="1759398921">
                      <w:marLeft w:val="0"/>
                      <w:marRight w:val="0"/>
                      <w:marTop w:val="0"/>
                      <w:marBottom w:val="0"/>
                      <w:divBdr>
                        <w:top w:val="none" w:sz="0" w:space="0" w:color="auto"/>
                        <w:left w:val="none" w:sz="0" w:space="0" w:color="auto"/>
                        <w:bottom w:val="none" w:sz="0" w:space="0" w:color="auto"/>
                        <w:right w:val="none" w:sz="0" w:space="0" w:color="auto"/>
                      </w:divBdr>
                    </w:div>
                    <w:div w:id="382556838">
                      <w:marLeft w:val="0"/>
                      <w:marRight w:val="0"/>
                      <w:marTop w:val="0"/>
                      <w:marBottom w:val="0"/>
                      <w:divBdr>
                        <w:top w:val="none" w:sz="0" w:space="0" w:color="auto"/>
                        <w:left w:val="none" w:sz="0" w:space="0" w:color="auto"/>
                        <w:bottom w:val="none" w:sz="0" w:space="0" w:color="auto"/>
                        <w:right w:val="none" w:sz="0" w:space="0" w:color="auto"/>
                      </w:divBdr>
                    </w:div>
                  </w:divsChild>
                </w:div>
                <w:div w:id="894898648">
                  <w:marLeft w:val="0"/>
                  <w:marRight w:val="0"/>
                  <w:marTop w:val="0"/>
                  <w:marBottom w:val="0"/>
                  <w:divBdr>
                    <w:top w:val="none" w:sz="0" w:space="0" w:color="auto"/>
                    <w:left w:val="none" w:sz="0" w:space="0" w:color="auto"/>
                    <w:bottom w:val="none" w:sz="0" w:space="0" w:color="auto"/>
                    <w:right w:val="none" w:sz="0" w:space="0" w:color="auto"/>
                  </w:divBdr>
                  <w:divsChild>
                    <w:div w:id="1900902023">
                      <w:marLeft w:val="0"/>
                      <w:marRight w:val="0"/>
                      <w:marTop w:val="0"/>
                      <w:marBottom w:val="0"/>
                      <w:divBdr>
                        <w:top w:val="none" w:sz="0" w:space="0" w:color="auto"/>
                        <w:left w:val="none" w:sz="0" w:space="0" w:color="auto"/>
                        <w:bottom w:val="none" w:sz="0" w:space="0" w:color="auto"/>
                        <w:right w:val="none" w:sz="0" w:space="0" w:color="auto"/>
                      </w:divBdr>
                    </w:div>
                  </w:divsChild>
                </w:div>
                <w:div w:id="1894383743">
                  <w:marLeft w:val="0"/>
                  <w:marRight w:val="0"/>
                  <w:marTop w:val="0"/>
                  <w:marBottom w:val="0"/>
                  <w:divBdr>
                    <w:top w:val="none" w:sz="0" w:space="0" w:color="auto"/>
                    <w:left w:val="none" w:sz="0" w:space="0" w:color="auto"/>
                    <w:bottom w:val="none" w:sz="0" w:space="0" w:color="auto"/>
                    <w:right w:val="none" w:sz="0" w:space="0" w:color="auto"/>
                  </w:divBdr>
                  <w:divsChild>
                    <w:div w:id="345449664">
                      <w:marLeft w:val="0"/>
                      <w:marRight w:val="0"/>
                      <w:marTop w:val="0"/>
                      <w:marBottom w:val="0"/>
                      <w:divBdr>
                        <w:top w:val="none" w:sz="0" w:space="0" w:color="auto"/>
                        <w:left w:val="none" w:sz="0" w:space="0" w:color="auto"/>
                        <w:bottom w:val="none" w:sz="0" w:space="0" w:color="auto"/>
                        <w:right w:val="none" w:sz="0" w:space="0" w:color="auto"/>
                      </w:divBdr>
                    </w:div>
                  </w:divsChild>
                </w:div>
                <w:div w:id="2011135231">
                  <w:marLeft w:val="0"/>
                  <w:marRight w:val="0"/>
                  <w:marTop w:val="0"/>
                  <w:marBottom w:val="0"/>
                  <w:divBdr>
                    <w:top w:val="none" w:sz="0" w:space="0" w:color="auto"/>
                    <w:left w:val="none" w:sz="0" w:space="0" w:color="auto"/>
                    <w:bottom w:val="none" w:sz="0" w:space="0" w:color="auto"/>
                    <w:right w:val="none" w:sz="0" w:space="0" w:color="auto"/>
                  </w:divBdr>
                  <w:divsChild>
                    <w:div w:id="406224567">
                      <w:marLeft w:val="0"/>
                      <w:marRight w:val="0"/>
                      <w:marTop w:val="0"/>
                      <w:marBottom w:val="0"/>
                      <w:divBdr>
                        <w:top w:val="none" w:sz="0" w:space="0" w:color="auto"/>
                        <w:left w:val="none" w:sz="0" w:space="0" w:color="auto"/>
                        <w:bottom w:val="none" w:sz="0" w:space="0" w:color="auto"/>
                        <w:right w:val="none" w:sz="0" w:space="0" w:color="auto"/>
                      </w:divBdr>
                    </w:div>
                    <w:div w:id="1788350732">
                      <w:marLeft w:val="0"/>
                      <w:marRight w:val="0"/>
                      <w:marTop w:val="0"/>
                      <w:marBottom w:val="0"/>
                      <w:divBdr>
                        <w:top w:val="none" w:sz="0" w:space="0" w:color="auto"/>
                        <w:left w:val="none" w:sz="0" w:space="0" w:color="auto"/>
                        <w:bottom w:val="none" w:sz="0" w:space="0" w:color="auto"/>
                        <w:right w:val="none" w:sz="0" w:space="0" w:color="auto"/>
                      </w:divBdr>
                    </w:div>
                  </w:divsChild>
                </w:div>
                <w:div w:id="599724268">
                  <w:marLeft w:val="0"/>
                  <w:marRight w:val="0"/>
                  <w:marTop w:val="0"/>
                  <w:marBottom w:val="0"/>
                  <w:divBdr>
                    <w:top w:val="none" w:sz="0" w:space="0" w:color="auto"/>
                    <w:left w:val="none" w:sz="0" w:space="0" w:color="auto"/>
                    <w:bottom w:val="none" w:sz="0" w:space="0" w:color="auto"/>
                    <w:right w:val="none" w:sz="0" w:space="0" w:color="auto"/>
                  </w:divBdr>
                  <w:divsChild>
                    <w:div w:id="1837649212">
                      <w:marLeft w:val="0"/>
                      <w:marRight w:val="0"/>
                      <w:marTop w:val="0"/>
                      <w:marBottom w:val="0"/>
                      <w:divBdr>
                        <w:top w:val="none" w:sz="0" w:space="0" w:color="auto"/>
                        <w:left w:val="none" w:sz="0" w:space="0" w:color="auto"/>
                        <w:bottom w:val="none" w:sz="0" w:space="0" w:color="auto"/>
                        <w:right w:val="none" w:sz="0" w:space="0" w:color="auto"/>
                      </w:divBdr>
                    </w:div>
                  </w:divsChild>
                </w:div>
                <w:div w:id="824711506">
                  <w:marLeft w:val="0"/>
                  <w:marRight w:val="0"/>
                  <w:marTop w:val="0"/>
                  <w:marBottom w:val="0"/>
                  <w:divBdr>
                    <w:top w:val="none" w:sz="0" w:space="0" w:color="auto"/>
                    <w:left w:val="none" w:sz="0" w:space="0" w:color="auto"/>
                    <w:bottom w:val="none" w:sz="0" w:space="0" w:color="auto"/>
                    <w:right w:val="none" w:sz="0" w:space="0" w:color="auto"/>
                  </w:divBdr>
                  <w:divsChild>
                    <w:div w:id="1018895677">
                      <w:marLeft w:val="0"/>
                      <w:marRight w:val="0"/>
                      <w:marTop w:val="0"/>
                      <w:marBottom w:val="0"/>
                      <w:divBdr>
                        <w:top w:val="none" w:sz="0" w:space="0" w:color="auto"/>
                        <w:left w:val="none" w:sz="0" w:space="0" w:color="auto"/>
                        <w:bottom w:val="none" w:sz="0" w:space="0" w:color="auto"/>
                        <w:right w:val="none" w:sz="0" w:space="0" w:color="auto"/>
                      </w:divBdr>
                    </w:div>
                    <w:div w:id="962662486">
                      <w:marLeft w:val="0"/>
                      <w:marRight w:val="0"/>
                      <w:marTop w:val="0"/>
                      <w:marBottom w:val="0"/>
                      <w:divBdr>
                        <w:top w:val="none" w:sz="0" w:space="0" w:color="auto"/>
                        <w:left w:val="none" w:sz="0" w:space="0" w:color="auto"/>
                        <w:bottom w:val="none" w:sz="0" w:space="0" w:color="auto"/>
                        <w:right w:val="none" w:sz="0" w:space="0" w:color="auto"/>
                      </w:divBdr>
                    </w:div>
                  </w:divsChild>
                </w:div>
                <w:div w:id="168444298">
                  <w:marLeft w:val="0"/>
                  <w:marRight w:val="0"/>
                  <w:marTop w:val="0"/>
                  <w:marBottom w:val="0"/>
                  <w:divBdr>
                    <w:top w:val="none" w:sz="0" w:space="0" w:color="auto"/>
                    <w:left w:val="none" w:sz="0" w:space="0" w:color="auto"/>
                    <w:bottom w:val="none" w:sz="0" w:space="0" w:color="auto"/>
                    <w:right w:val="none" w:sz="0" w:space="0" w:color="auto"/>
                  </w:divBdr>
                  <w:divsChild>
                    <w:div w:id="1902010708">
                      <w:marLeft w:val="0"/>
                      <w:marRight w:val="0"/>
                      <w:marTop w:val="0"/>
                      <w:marBottom w:val="0"/>
                      <w:divBdr>
                        <w:top w:val="none" w:sz="0" w:space="0" w:color="auto"/>
                        <w:left w:val="none" w:sz="0" w:space="0" w:color="auto"/>
                        <w:bottom w:val="none" w:sz="0" w:space="0" w:color="auto"/>
                        <w:right w:val="none" w:sz="0" w:space="0" w:color="auto"/>
                      </w:divBdr>
                    </w:div>
                  </w:divsChild>
                </w:div>
                <w:div w:id="1705907260">
                  <w:marLeft w:val="0"/>
                  <w:marRight w:val="0"/>
                  <w:marTop w:val="0"/>
                  <w:marBottom w:val="0"/>
                  <w:divBdr>
                    <w:top w:val="none" w:sz="0" w:space="0" w:color="auto"/>
                    <w:left w:val="none" w:sz="0" w:space="0" w:color="auto"/>
                    <w:bottom w:val="none" w:sz="0" w:space="0" w:color="auto"/>
                    <w:right w:val="none" w:sz="0" w:space="0" w:color="auto"/>
                  </w:divBdr>
                  <w:divsChild>
                    <w:div w:id="1694574413">
                      <w:marLeft w:val="0"/>
                      <w:marRight w:val="0"/>
                      <w:marTop w:val="0"/>
                      <w:marBottom w:val="0"/>
                      <w:divBdr>
                        <w:top w:val="none" w:sz="0" w:space="0" w:color="auto"/>
                        <w:left w:val="none" w:sz="0" w:space="0" w:color="auto"/>
                        <w:bottom w:val="none" w:sz="0" w:space="0" w:color="auto"/>
                        <w:right w:val="none" w:sz="0" w:space="0" w:color="auto"/>
                      </w:divBdr>
                    </w:div>
                    <w:div w:id="1171406605">
                      <w:marLeft w:val="0"/>
                      <w:marRight w:val="0"/>
                      <w:marTop w:val="0"/>
                      <w:marBottom w:val="0"/>
                      <w:divBdr>
                        <w:top w:val="none" w:sz="0" w:space="0" w:color="auto"/>
                        <w:left w:val="none" w:sz="0" w:space="0" w:color="auto"/>
                        <w:bottom w:val="none" w:sz="0" w:space="0" w:color="auto"/>
                        <w:right w:val="none" w:sz="0" w:space="0" w:color="auto"/>
                      </w:divBdr>
                    </w:div>
                  </w:divsChild>
                </w:div>
                <w:div w:id="438717624">
                  <w:marLeft w:val="0"/>
                  <w:marRight w:val="0"/>
                  <w:marTop w:val="0"/>
                  <w:marBottom w:val="0"/>
                  <w:divBdr>
                    <w:top w:val="none" w:sz="0" w:space="0" w:color="auto"/>
                    <w:left w:val="none" w:sz="0" w:space="0" w:color="auto"/>
                    <w:bottom w:val="none" w:sz="0" w:space="0" w:color="auto"/>
                    <w:right w:val="none" w:sz="0" w:space="0" w:color="auto"/>
                  </w:divBdr>
                  <w:divsChild>
                    <w:div w:id="1433012415">
                      <w:marLeft w:val="0"/>
                      <w:marRight w:val="0"/>
                      <w:marTop w:val="0"/>
                      <w:marBottom w:val="0"/>
                      <w:divBdr>
                        <w:top w:val="none" w:sz="0" w:space="0" w:color="auto"/>
                        <w:left w:val="none" w:sz="0" w:space="0" w:color="auto"/>
                        <w:bottom w:val="none" w:sz="0" w:space="0" w:color="auto"/>
                        <w:right w:val="none" w:sz="0" w:space="0" w:color="auto"/>
                      </w:divBdr>
                    </w:div>
                  </w:divsChild>
                </w:div>
                <w:div w:id="1687756494">
                  <w:marLeft w:val="0"/>
                  <w:marRight w:val="0"/>
                  <w:marTop w:val="0"/>
                  <w:marBottom w:val="0"/>
                  <w:divBdr>
                    <w:top w:val="none" w:sz="0" w:space="0" w:color="auto"/>
                    <w:left w:val="none" w:sz="0" w:space="0" w:color="auto"/>
                    <w:bottom w:val="none" w:sz="0" w:space="0" w:color="auto"/>
                    <w:right w:val="none" w:sz="0" w:space="0" w:color="auto"/>
                  </w:divBdr>
                  <w:divsChild>
                    <w:div w:id="1111783068">
                      <w:marLeft w:val="0"/>
                      <w:marRight w:val="0"/>
                      <w:marTop w:val="0"/>
                      <w:marBottom w:val="0"/>
                      <w:divBdr>
                        <w:top w:val="none" w:sz="0" w:space="0" w:color="auto"/>
                        <w:left w:val="none" w:sz="0" w:space="0" w:color="auto"/>
                        <w:bottom w:val="none" w:sz="0" w:space="0" w:color="auto"/>
                        <w:right w:val="none" w:sz="0" w:space="0" w:color="auto"/>
                      </w:divBdr>
                    </w:div>
                  </w:divsChild>
                </w:div>
                <w:div w:id="1396588408">
                  <w:marLeft w:val="0"/>
                  <w:marRight w:val="0"/>
                  <w:marTop w:val="0"/>
                  <w:marBottom w:val="0"/>
                  <w:divBdr>
                    <w:top w:val="none" w:sz="0" w:space="0" w:color="auto"/>
                    <w:left w:val="none" w:sz="0" w:space="0" w:color="auto"/>
                    <w:bottom w:val="none" w:sz="0" w:space="0" w:color="auto"/>
                    <w:right w:val="none" w:sz="0" w:space="0" w:color="auto"/>
                  </w:divBdr>
                  <w:divsChild>
                    <w:div w:id="1747068619">
                      <w:marLeft w:val="0"/>
                      <w:marRight w:val="0"/>
                      <w:marTop w:val="0"/>
                      <w:marBottom w:val="0"/>
                      <w:divBdr>
                        <w:top w:val="none" w:sz="0" w:space="0" w:color="auto"/>
                        <w:left w:val="none" w:sz="0" w:space="0" w:color="auto"/>
                        <w:bottom w:val="none" w:sz="0" w:space="0" w:color="auto"/>
                        <w:right w:val="none" w:sz="0" w:space="0" w:color="auto"/>
                      </w:divBdr>
                    </w:div>
                  </w:divsChild>
                </w:div>
                <w:div w:id="1938169069">
                  <w:marLeft w:val="0"/>
                  <w:marRight w:val="0"/>
                  <w:marTop w:val="0"/>
                  <w:marBottom w:val="0"/>
                  <w:divBdr>
                    <w:top w:val="none" w:sz="0" w:space="0" w:color="auto"/>
                    <w:left w:val="none" w:sz="0" w:space="0" w:color="auto"/>
                    <w:bottom w:val="none" w:sz="0" w:space="0" w:color="auto"/>
                    <w:right w:val="none" w:sz="0" w:space="0" w:color="auto"/>
                  </w:divBdr>
                  <w:divsChild>
                    <w:div w:id="1972710333">
                      <w:marLeft w:val="0"/>
                      <w:marRight w:val="0"/>
                      <w:marTop w:val="0"/>
                      <w:marBottom w:val="0"/>
                      <w:divBdr>
                        <w:top w:val="none" w:sz="0" w:space="0" w:color="auto"/>
                        <w:left w:val="none" w:sz="0" w:space="0" w:color="auto"/>
                        <w:bottom w:val="none" w:sz="0" w:space="0" w:color="auto"/>
                        <w:right w:val="none" w:sz="0" w:space="0" w:color="auto"/>
                      </w:divBdr>
                    </w:div>
                  </w:divsChild>
                </w:div>
                <w:div w:id="1323700590">
                  <w:marLeft w:val="0"/>
                  <w:marRight w:val="0"/>
                  <w:marTop w:val="0"/>
                  <w:marBottom w:val="0"/>
                  <w:divBdr>
                    <w:top w:val="none" w:sz="0" w:space="0" w:color="auto"/>
                    <w:left w:val="none" w:sz="0" w:space="0" w:color="auto"/>
                    <w:bottom w:val="none" w:sz="0" w:space="0" w:color="auto"/>
                    <w:right w:val="none" w:sz="0" w:space="0" w:color="auto"/>
                  </w:divBdr>
                  <w:divsChild>
                    <w:div w:id="1332951620">
                      <w:marLeft w:val="0"/>
                      <w:marRight w:val="0"/>
                      <w:marTop w:val="0"/>
                      <w:marBottom w:val="0"/>
                      <w:divBdr>
                        <w:top w:val="none" w:sz="0" w:space="0" w:color="auto"/>
                        <w:left w:val="none" w:sz="0" w:space="0" w:color="auto"/>
                        <w:bottom w:val="none" w:sz="0" w:space="0" w:color="auto"/>
                        <w:right w:val="none" w:sz="0" w:space="0" w:color="auto"/>
                      </w:divBdr>
                    </w:div>
                  </w:divsChild>
                </w:div>
                <w:div w:id="1704018023">
                  <w:marLeft w:val="0"/>
                  <w:marRight w:val="0"/>
                  <w:marTop w:val="0"/>
                  <w:marBottom w:val="0"/>
                  <w:divBdr>
                    <w:top w:val="none" w:sz="0" w:space="0" w:color="auto"/>
                    <w:left w:val="none" w:sz="0" w:space="0" w:color="auto"/>
                    <w:bottom w:val="none" w:sz="0" w:space="0" w:color="auto"/>
                    <w:right w:val="none" w:sz="0" w:space="0" w:color="auto"/>
                  </w:divBdr>
                  <w:divsChild>
                    <w:div w:id="1132212894">
                      <w:marLeft w:val="0"/>
                      <w:marRight w:val="0"/>
                      <w:marTop w:val="0"/>
                      <w:marBottom w:val="0"/>
                      <w:divBdr>
                        <w:top w:val="none" w:sz="0" w:space="0" w:color="auto"/>
                        <w:left w:val="none" w:sz="0" w:space="0" w:color="auto"/>
                        <w:bottom w:val="none" w:sz="0" w:space="0" w:color="auto"/>
                        <w:right w:val="none" w:sz="0" w:space="0" w:color="auto"/>
                      </w:divBdr>
                    </w:div>
                  </w:divsChild>
                </w:div>
                <w:div w:id="1919245192">
                  <w:marLeft w:val="0"/>
                  <w:marRight w:val="0"/>
                  <w:marTop w:val="0"/>
                  <w:marBottom w:val="0"/>
                  <w:divBdr>
                    <w:top w:val="none" w:sz="0" w:space="0" w:color="auto"/>
                    <w:left w:val="none" w:sz="0" w:space="0" w:color="auto"/>
                    <w:bottom w:val="none" w:sz="0" w:space="0" w:color="auto"/>
                    <w:right w:val="none" w:sz="0" w:space="0" w:color="auto"/>
                  </w:divBdr>
                  <w:divsChild>
                    <w:div w:id="1314026530">
                      <w:marLeft w:val="0"/>
                      <w:marRight w:val="0"/>
                      <w:marTop w:val="0"/>
                      <w:marBottom w:val="0"/>
                      <w:divBdr>
                        <w:top w:val="none" w:sz="0" w:space="0" w:color="auto"/>
                        <w:left w:val="none" w:sz="0" w:space="0" w:color="auto"/>
                        <w:bottom w:val="none" w:sz="0" w:space="0" w:color="auto"/>
                        <w:right w:val="none" w:sz="0" w:space="0" w:color="auto"/>
                      </w:divBdr>
                    </w:div>
                  </w:divsChild>
                </w:div>
                <w:div w:id="1443846049">
                  <w:marLeft w:val="0"/>
                  <w:marRight w:val="0"/>
                  <w:marTop w:val="0"/>
                  <w:marBottom w:val="0"/>
                  <w:divBdr>
                    <w:top w:val="none" w:sz="0" w:space="0" w:color="auto"/>
                    <w:left w:val="none" w:sz="0" w:space="0" w:color="auto"/>
                    <w:bottom w:val="none" w:sz="0" w:space="0" w:color="auto"/>
                    <w:right w:val="none" w:sz="0" w:space="0" w:color="auto"/>
                  </w:divBdr>
                  <w:divsChild>
                    <w:div w:id="131406895">
                      <w:marLeft w:val="0"/>
                      <w:marRight w:val="0"/>
                      <w:marTop w:val="0"/>
                      <w:marBottom w:val="0"/>
                      <w:divBdr>
                        <w:top w:val="none" w:sz="0" w:space="0" w:color="auto"/>
                        <w:left w:val="none" w:sz="0" w:space="0" w:color="auto"/>
                        <w:bottom w:val="none" w:sz="0" w:space="0" w:color="auto"/>
                        <w:right w:val="none" w:sz="0" w:space="0" w:color="auto"/>
                      </w:divBdr>
                    </w:div>
                  </w:divsChild>
                </w:div>
                <w:div w:id="83380349">
                  <w:marLeft w:val="0"/>
                  <w:marRight w:val="0"/>
                  <w:marTop w:val="0"/>
                  <w:marBottom w:val="0"/>
                  <w:divBdr>
                    <w:top w:val="none" w:sz="0" w:space="0" w:color="auto"/>
                    <w:left w:val="none" w:sz="0" w:space="0" w:color="auto"/>
                    <w:bottom w:val="none" w:sz="0" w:space="0" w:color="auto"/>
                    <w:right w:val="none" w:sz="0" w:space="0" w:color="auto"/>
                  </w:divBdr>
                  <w:divsChild>
                    <w:div w:id="1255820497">
                      <w:marLeft w:val="0"/>
                      <w:marRight w:val="0"/>
                      <w:marTop w:val="0"/>
                      <w:marBottom w:val="0"/>
                      <w:divBdr>
                        <w:top w:val="none" w:sz="0" w:space="0" w:color="auto"/>
                        <w:left w:val="none" w:sz="0" w:space="0" w:color="auto"/>
                        <w:bottom w:val="none" w:sz="0" w:space="0" w:color="auto"/>
                        <w:right w:val="none" w:sz="0" w:space="0" w:color="auto"/>
                      </w:divBdr>
                    </w:div>
                  </w:divsChild>
                </w:div>
                <w:div w:id="489835229">
                  <w:marLeft w:val="0"/>
                  <w:marRight w:val="0"/>
                  <w:marTop w:val="0"/>
                  <w:marBottom w:val="0"/>
                  <w:divBdr>
                    <w:top w:val="none" w:sz="0" w:space="0" w:color="auto"/>
                    <w:left w:val="none" w:sz="0" w:space="0" w:color="auto"/>
                    <w:bottom w:val="none" w:sz="0" w:space="0" w:color="auto"/>
                    <w:right w:val="none" w:sz="0" w:space="0" w:color="auto"/>
                  </w:divBdr>
                  <w:divsChild>
                    <w:div w:id="163206047">
                      <w:marLeft w:val="0"/>
                      <w:marRight w:val="0"/>
                      <w:marTop w:val="0"/>
                      <w:marBottom w:val="0"/>
                      <w:divBdr>
                        <w:top w:val="none" w:sz="0" w:space="0" w:color="auto"/>
                        <w:left w:val="none" w:sz="0" w:space="0" w:color="auto"/>
                        <w:bottom w:val="none" w:sz="0" w:space="0" w:color="auto"/>
                        <w:right w:val="none" w:sz="0" w:space="0" w:color="auto"/>
                      </w:divBdr>
                    </w:div>
                  </w:divsChild>
                </w:div>
                <w:div w:id="2018068484">
                  <w:marLeft w:val="0"/>
                  <w:marRight w:val="0"/>
                  <w:marTop w:val="0"/>
                  <w:marBottom w:val="0"/>
                  <w:divBdr>
                    <w:top w:val="none" w:sz="0" w:space="0" w:color="auto"/>
                    <w:left w:val="none" w:sz="0" w:space="0" w:color="auto"/>
                    <w:bottom w:val="none" w:sz="0" w:space="0" w:color="auto"/>
                    <w:right w:val="none" w:sz="0" w:space="0" w:color="auto"/>
                  </w:divBdr>
                  <w:divsChild>
                    <w:div w:id="235281460">
                      <w:marLeft w:val="0"/>
                      <w:marRight w:val="0"/>
                      <w:marTop w:val="0"/>
                      <w:marBottom w:val="0"/>
                      <w:divBdr>
                        <w:top w:val="none" w:sz="0" w:space="0" w:color="auto"/>
                        <w:left w:val="none" w:sz="0" w:space="0" w:color="auto"/>
                        <w:bottom w:val="none" w:sz="0" w:space="0" w:color="auto"/>
                        <w:right w:val="none" w:sz="0" w:space="0" w:color="auto"/>
                      </w:divBdr>
                    </w:div>
                  </w:divsChild>
                </w:div>
                <w:div w:id="1588928508">
                  <w:marLeft w:val="0"/>
                  <w:marRight w:val="0"/>
                  <w:marTop w:val="0"/>
                  <w:marBottom w:val="0"/>
                  <w:divBdr>
                    <w:top w:val="none" w:sz="0" w:space="0" w:color="auto"/>
                    <w:left w:val="none" w:sz="0" w:space="0" w:color="auto"/>
                    <w:bottom w:val="none" w:sz="0" w:space="0" w:color="auto"/>
                    <w:right w:val="none" w:sz="0" w:space="0" w:color="auto"/>
                  </w:divBdr>
                  <w:divsChild>
                    <w:div w:id="1429891018">
                      <w:marLeft w:val="0"/>
                      <w:marRight w:val="0"/>
                      <w:marTop w:val="0"/>
                      <w:marBottom w:val="0"/>
                      <w:divBdr>
                        <w:top w:val="none" w:sz="0" w:space="0" w:color="auto"/>
                        <w:left w:val="none" w:sz="0" w:space="0" w:color="auto"/>
                        <w:bottom w:val="none" w:sz="0" w:space="0" w:color="auto"/>
                        <w:right w:val="none" w:sz="0" w:space="0" w:color="auto"/>
                      </w:divBdr>
                    </w:div>
                  </w:divsChild>
                </w:div>
                <w:div w:id="882136508">
                  <w:marLeft w:val="0"/>
                  <w:marRight w:val="0"/>
                  <w:marTop w:val="0"/>
                  <w:marBottom w:val="0"/>
                  <w:divBdr>
                    <w:top w:val="none" w:sz="0" w:space="0" w:color="auto"/>
                    <w:left w:val="none" w:sz="0" w:space="0" w:color="auto"/>
                    <w:bottom w:val="none" w:sz="0" w:space="0" w:color="auto"/>
                    <w:right w:val="none" w:sz="0" w:space="0" w:color="auto"/>
                  </w:divBdr>
                  <w:divsChild>
                    <w:div w:id="215822114">
                      <w:marLeft w:val="0"/>
                      <w:marRight w:val="0"/>
                      <w:marTop w:val="0"/>
                      <w:marBottom w:val="0"/>
                      <w:divBdr>
                        <w:top w:val="none" w:sz="0" w:space="0" w:color="auto"/>
                        <w:left w:val="none" w:sz="0" w:space="0" w:color="auto"/>
                        <w:bottom w:val="none" w:sz="0" w:space="0" w:color="auto"/>
                        <w:right w:val="none" w:sz="0" w:space="0" w:color="auto"/>
                      </w:divBdr>
                    </w:div>
                  </w:divsChild>
                </w:div>
                <w:div w:id="1777292589">
                  <w:marLeft w:val="0"/>
                  <w:marRight w:val="0"/>
                  <w:marTop w:val="0"/>
                  <w:marBottom w:val="0"/>
                  <w:divBdr>
                    <w:top w:val="none" w:sz="0" w:space="0" w:color="auto"/>
                    <w:left w:val="none" w:sz="0" w:space="0" w:color="auto"/>
                    <w:bottom w:val="none" w:sz="0" w:space="0" w:color="auto"/>
                    <w:right w:val="none" w:sz="0" w:space="0" w:color="auto"/>
                  </w:divBdr>
                  <w:divsChild>
                    <w:div w:id="508645411">
                      <w:marLeft w:val="0"/>
                      <w:marRight w:val="0"/>
                      <w:marTop w:val="0"/>
                      <w:marBottom w:val="0"/>
                      <w:divBdr>
                        <w:top w:val="none" w:sz="0" w:space="0" w:color="auto"/>
                        <w:left w:val="none" w:sz="0" w:space="0" w:color="auto"/>
                        <w:bottom w:val="none" w:sz="0" w:space="0" w:color="auto"/>
                        <w:right w:val="none" w:sz="0" w:space="0" w:color="auto"/>
                      </w:divBdr>
                    </w:div>
                  </w:divsChild>
                </w:div>
                <w:div w:id="502553100">
                  <w:marLeft w:val="0"/>
                  <w:marRight w:val="0"/>
                  <w:marTop w:val="0"/>
                  <w:marBottom w:val="0"/>
                  <w:divBdr>
                    <w:top w:val="none" w:sz="0" w:space="0" w:color="auto"/>
                    <w:left w:val="none" w:sz="0" w:space="0" w:color="auto"/>
                    <w:bottom w:val="none" w:sz="0" w:space="0" w:color="auto"/>
                    <w:right w:val="none" w:sz="0" w:space="0" w:color="auto"/>
                  </w:divBdr>
                  <w:divsChild>
                    <w:div w:id="1026174810">
                      <w:marLeft w:val="0"/>
                      <w:marRight w:val="0"/>
                      <w:marTop w:val="0"/>
                      <w:marBottom w:val="0"/>
                      <w:divBdr>
                        <w:top w:val="none" w:sz="0" w:space="0" w:color="auto"/>
                        <w:left w:val="none" w:sz="0" w:space="0" w:color="auto"/>
                        <w:bottom w:val="none" w:sz="0" w:space="0" w:color="auto"/>
                        <w:right w:val="none" w:sz="0" w:space="0" w:color="auto"/>
                      </w:divBdr>
                    </w:div>
                  </w:divsChild>
                </w:div>
                <w:div w:id="199172369">
                  <w:marLeft w:val="0"/>
                  <w:marRight w:val="0"/>
                  <w:marTop w:val="0"/>
                  <w:marBottom w:val="0"/>
                  <w:divBdr>
                    <w:top w:val="none" w:sz="0" w:space="0" w:color="auto"/>
                    <w:left w:val="none" w:sz="0" w:space="0" w:color="auto"/>
                    <w:bottom w:val="none" w:sz="0" w:space="0" w:color="auto"/>
                    <w:right w:val="none" w:sz="0" w:space="0" w:color="auto"/>
                  </w:divBdr>
                  <w:divsChild>
                    <w:div w:id="308444994">
                      <w:marLeft w:val="0"/>
                      <w:marRight w:val="0"/>
                      <w:marTop w:val="0"/>
                      <w:marBottom w:val="0"/>
                      <w:divBdr>
                        <w:top w:val="none" w:sz="0" w:space="0" w:color="auto"/>
                        <w:left w:val="none" w:sz="0" w:space="0" w:color="auto"/>
                        <w:bottom w:val="none" w:sz="0" w:space="0" w:color="auto"/>
                        <w:right w:val="none" w:sz="0" w:space="0" w:color="auto"/>
                      </w:divBdr>
                    </w:div>
                    <w:div w:id="1060910365">
                      <w:marLeft w:val="0"/>
                      <w:marRight w:val="0"/>
                      <w:marTop w:val="0"/>
                      <w:marBottom w:val="0"/>
                      <w:divBdr>
                        <w:top w:val="none" w:sz="0" w:space="0" w:color="auto"/>
                        <w:left w:val="none" w:sz="0" w:space="0" w:color="auto"/>
                        <w:bottom w:val="none" w:sz="0" w:space="0" w:color="auto"/>
                        <w:right w:val="none" w:sz="0" w:space="0" w:color="auto"/>
                      </w:divBdr>
                    </w:div>
                    <w:div w:id="573200214">
                      <w:marLeft w:val="0"/>
                      <w:marRight w:val="0"/>
                      <w:marTop w:val="0"/>
                      <w:marBottom w:val="0"/>
                      <w:divBdr>
                        <w:top w:val="none" w:sz="0" w:space="0" w:color="auto"/>
                        <w:left w:val="none" w:sz="0" w:space="0" w:color="auto"/>
                        <w:bottom w:val="none" w:sz="0" w:space="0" w:color="auto"/>
                        <w:right w:val="none" w:sz="0" w:space="0" w:color="auto"/>
                      </w:divBdr>
                    </w:div>
                    <w:div w:id="582490373">
                      <w:marLeft w:val="0"/>
                      <w:marRight w:val="0"/>
                      <w:marTop w:val="0"/>
                      <w:marBottom w:val="0"/>
                      <w:divBdr>
                        <w:top w:val="none" w:sz="0" w:space="0" w:color="auto"/>
                        <w:left w:val="none" w:sz="0" w:space="0" w:color="auto"/>
                        <w:bottom w:val="none" w:sz="0" w:space="0" w:color="auto"/>
                        <w:right w:val="none" w:sz="0" w:space="0" w:color="auto"/>
                      </w:divBdr>
                    </w:div>
                    <w:div w:id="164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9084">
          <w:marLeft w:val="0"/>
          <w:marRight w:val="0"/>
          <w:marTop w:val="0"/>
          <w:marBottom w:val="0"/>
          <w:divBdr>
            <w:top w:val="none" w:sz="0" w:space="0" w:color="auto"/>
            <w:left w:val="none" w:sz="0" w:space="0" w:color="auto"/>
            <w:bottom w:val="none" w:sz="0" w:space="0" w:color="auto"/>
            <w:right w:val="none" w:sz="0" w:space="0" w:color="auto"/>
          </w:divBdr>
        </w:div>
      </w:divsChild>
    </w:div>
    <w:div w:id="1805612867">
      <w:bodyDiv w:val="1"/>
      <w:marLeft w:val="0"/>
      <w:marRight w:val="0"/>
      <w:marTop w:val="0"/>
      <w:marBottom w:val="0"/>
      <w:divBdr>
        <w:top w:val="none" w:sz="0" w:space="0" w:color="auto"/>
        <w:left w:val="none" w:sz="0" w:space="0" w:color="auto"/>
        <w:bottom w:val="none" w:sz="0" w:space="0" w:color="auto"/>
        <w:right w:val="none" w:sz="0" w:space="0" w:color="auto"/>
      </w:divBdr>
    </w:div>
    <w:div w:id="1883470975">
      <w:bodyDiv w:val="1"/>
      <w:marLeft w:val="0"/>
      <w:marRight w:val="0"/>
      <w:marTop w:val="0"/>
      <w:marBottom w:val="0"/>
      <w:divBdr>
        <w:top w:val="none" w:sz="0" w:space="0" w:color="auto"/>
        <w:left w:val="none" w:sz="0" w:space="0" w:color="auto"/>
        <w:bottom w:val="none" w:sz="0" w:space="0" w:color="auto"/>
        <w:right w:val="none" w:sz="0" w:space="0" w:color="auto"/>
      </w:divBdr>
    </w:div>
    <w:div w:id="1899898164">
      <w:bodyDiv w:val="1"/>
      <w:marLeft w:val="0"/>
      <w:marRight w:val="0"/>
      <w:marTop w:val="0"/>
      <w:marBottom w:val="0"/>
      <w:divBdr>
        <w:top w:val="none" w:sz="0" w:space="0" w:color="auto"/>
        <w:left w:val="none" w:sz="0" w:space="0" w:color="auto"/>
        <w:bottom w:val="none" w:sz="0" w:space="0" w:color="auto"/>
        <w:right w:val="none" w:sz="0" w:space="0" w:color="auto"/>
      </w:divBdr>
    </w:div>
    <w:div w:id="1936403525">
      <w:bodyDiv w:val="1"/>
      <w:marLeft w:val="0"/>
      <w:marRight w:val="0"/>
      <w:marTop w:val="0"/>
      <w:marBottom w:val="0"/>
      <w:divBdr>
        <w:top w:val="none" w:sz="0" w:space="0" w:color="auto"/>
        <w:left w:val="none" w:sz="0" w:space="0" w:color="auto"/>
        <w:bottom w:val="none" w:sz="0" w:space="0" w:color="auto"/>
        <w:right w:val="none" w:sz="0" w:space="0" w:color="auto"/>
      </w:divBdr>
    </w:div>
    <w:div w:id="1981499972">
      <w:bodyDiv w:val="1"/>
      <w:marLeft w:val="0"/>
      <w:marRight w:val="0"/>
      <w:marTop w:val="0"/>
      <w:marBottom w:val="0"/>
      <w:divBdr>
        <w:top w:val="none" w:sz="0" w:space="0" w:color="auto"/>
        <w:left w:val="none" w:sz="0" w:space="0" w:color="auto"/>
        <w:bottom w:val="none" w:sz="0" w:space="0" w:color="auto"/>
        <w:right w:val="none" w:sz="0" w:space="0" w:color="auto"/>
      </w:divBdr>
    </w:div>
    <w:div w:id="1988900248">
      <w:bodyDiv w:val="1"/>
      <w:marLeft w:val="0"/>
      <w:marRight w:val="0"/>
      <w:marTop w:val="0"/>
      <w:marBottom w:val="0"/>
      <w:divBdr>
        <w:top w:val="none" w:sz="0" w:space="0" w:color="auto"/>
        <w:left w:val="none" w:sz="0" w:space="0" w:color="auto"/>
        <w:bottom w:val="none" w:sz="0" w:space="0" w:color="auto"/>
        <w:right w:val="none" w:sz="0" w:space="0" w:color="auto"/>
      </w:divBdr>
      <w:divsChild>
        <w:div w:id="162865366">
          <w:marLeft w:val="0"/>
          <w:marRight w:val="0"/>
          <w:marTop w:val="0"/>
          <w:marBottom w:val="0"/>
          <w:divBdr>
            <w:top w:val="none" w:sz="0" w:space="0" w:color="auto"/>
            <w:left w:val="none" w:sz="0" w:space="0" w:color="auto"/>
            <w:bottom w:val="none" w:sz="0" w:space="0" w:color="auto"/>
            <w:right w:val="none" w:sz="0" w:space="0" w:color="auto"/>
          </w:divBdr>
          <w:divsChild>
            <w:div w:id="2068411747">
              <w:marLeft w:val="0"/>
              <w:marRight w:val="0"/>
              <w:marTop w:val="0"/>
              <w:marBottom w:val="0"/>
              <w:divBdr>
                <w:top w:val="none" w:sz="0" w:space="0" w:color="auto"/>
                <w:left w:val="none" w:sz="0" w:space="0" w:color="auto"/>
                <w:bottom w:val="none" w:sz="0" w:space="0" w:color="auto"/>
                <w:right w:val="none" w:sz="0" w:space="0" w:color="auto"/>
              </w:divBdr>
            </w:div>
          </w:divsChild>
        </w:div>
        <w:div w:id="1605073142">
          <w:marLeft w:val="0"/>
          <w:marRight w:val="0"/>
          <w:marTop w:val="0"/>
          <w:marBottom w:val="0"/>
          <w:divBdr>
            <w:top w:val="none" w:sz="0" w:space="0" w:color="auto"/>
            <w:left w:val="none" w:sz="0" w:space="0" w:color="auto"/>
            <w:bottom w:val="none" w:sz="0" w:space="0" w:color="auto"/>
            <w:right w:val="none" w:sz="0" w:space="0" w:color="auto"/>
          </w:divBdr>
          <w:divsChild>
            <w:div w:id="944381399">
              <w:marLeft w:val="0"/>
              <w:marRight w:val="0"/>
              <w:marTop w:val="0"/>
              <w:marBottom w:val="0"/>
              <w:divBdr>
                <w:top w:val="none" w:sz="0" w:space="0" w:color="auto"/>
                <w:left w:val="none" w:sz="0" w:space="0" w:color="auto"/>
                <w:bottom w:val="none" w:sz="0" w:space="0" w:color="auto"/>
                <w:right w:val="none" w:sz="0" w:space="0" w:color="auto"/>
              </w:divBdr>
            </w:div>
          </w:divsChild>
        </w:div>
        <w:div w:id="264509158">
          <w:marLeft w:val="0"/>
          <w:marRight w:val="0"/>
          <w:marTop w:val="0"/>
          <w:marBottom w:val="0"/>
          <w:divBdr>
            <w:top w:val="none" w:sz="0" w:space="0" w:color="auto"/>
            <w:left w:val="none" w:sz="0" w:space="0" w:color="auto"/>
            <w:bottom w:val="none" w:sz="0" w:space="0" w:color="auto"/>
            <w:right w:val="none" w:sz="0" w:space="0" w:color="auto"/>
          </w:divBdr>
          <w:divsChild>
            <w:div w:id="708605577">
              <w:marLeft w:val="0"/>
              <w:marRight w:val="0"/>
              <w:marTop w:val="0"/>
              <w:marBottom w:val="0"/>
              <w:divBdr>
                <w:top w:val="none" w:sz="0" w:space="0" w:color="auto"/>
                <w:left w:val="none" w:sz="0" w:space="0" w:color="auto"/>
                <w:bottom w:val="none" w:sz="0" w:space="0" w:color="auto"/>
                <w:right w:val="none" w:sz="0" w:space="0" w:color="auto"/>
              </w:divBdr>
            </w:div>
          </w:divsChild>
        </w:div>
        <w:div w:id="1658262148">
          <w:marLeft w:val="0"/>
          <w:marRight w:val="0"/>
          <w:marTop w:val="0"/>
          <w:marBottom w:val="0"/>
          <w:divBdr>
            <w:top w:val="none" w:sz="0" w:space="0" w:color="auto"/>
            <w:left w:val="none" w:sz="0" w:space="0" w:color="auto"/>
            <w:bottom w:val="none" w:sz="0" w:space="0" w:color="auto"/>
            <w:right w:val="none" w:sz="0" w:space="0" w:color="auto"/>
          </w:divBdr>
          <w:divsChild>
            <w:div w:id="89861412">
              <w:marLeft w:val="0"/>
              <w:marRight w:val="0"/>
              <w:marTop w:val="0"/>
              <w:marBottom w:val="0"/>
              <w:divBdr>
                <w:top w:val="none" w:sz="0" w:space="0" w:color="auto"/>
                <w:left w:val="none" w:sz="0" w:space="0" w:color="auto"/>
                <w:bottom w:val="none" w:sz="0" w:space="0" w:color="auto"/>
                <w:right w:val="none" w:sz="0" w:space="0" w:color="auto"/>
              </w:divBdr>
            </w:div>
          </w:divsChild>
        </w:div>
        <w:div w:id="568610749">
          <w:marLeft w:val="0"/>
          <w:marRight w:val="0"/>
          <w:marTop w:val="0"/>
          <w:marBottom w:val="0"/>
          <w:divBdr>
            <w:top w:val="none" w:sz="0" w:space="0" w:color="auto"/>
            <w:left w:val="none" w:sz="0" w:space="0" w:color="auto"/>
            <w:bottom w:val="none" w:sz="0" w:space="0" w:color="auto"/>
            <w:right w:val="none" w:sz="0" w:space="0" w:color="auto"/>
          </w:divBdr>
          <w:divsChild>
            <w:div w:id="1817602363">
              <w:marLeft w:val="0"/>
              <w:marRight w:val="0"/>
              <w:marTop w:val="0"/>
              <w:marBottom w:val="0"/>
              <w:divBdr>
                <w:top w:val="none" w:sz="0" w:space="0" w:color="auto"/>
                <w:left w:val="none" w:sz="0" w:space="0" w:color="auto"/>
                <w:bottom w:val="none" w:sz="0" w:space="0" w:color="auto"/>
                <w:right w:val="none" w:sz="0" w:space="0" w:color="auto"/>
              </w:divBdr>
            </w:div>
          </w:divsChild>
        </w:div>
        <w:div w:id="1504858876">
          <w:marLeft w:val="0"/>
          <w:marRight w:val="0"/>
          <w:marTop w:val="0"/>
          <w:marBottom w:val="0"/>
          <w:divBdr>
            <w:top w:val="none" w:sz="0" w:space="0" w:color="auto"/>
            <w:left w:val="none" w:sz="0" w:space="0" w:color="auto"/>
            <w:bottom w:val="none" w:sz="0" w:space="0" w:color="auto"/>
            <w:right w:val="none" w:sz="0" w:space="0" w:color="auto"/>
          </w:divBdr>
          <w:divsChild>
            <w:div w:id="698554325">
              <w:marLeft w:val="0"/>
              <w:marRight w:val="0"/>
              <w:marTop w:val="0"/>
              <w:marBottom w:val="0"/>
              <w:divBdr>
                <w:top w:val="none" w:sz="0" w:space="0" w:color="auto"/>
                <w:left w:val="none" w:sz="0" w:space="0" w:color="auto"/>
                <w:bottom w:val="none" w:sz="0" w:space="0" w:color="auto"/>
                <w:right w:val="none" w:sz="0" w:space="0" w:color="auto"/>
              </w:divBdr>
            </w:div>
          </w:divsChild>
        </w:div>
        <w:div w:id="1118256550">
          <w:marLeft w:val="0"/>
          <w:marRight w:val="0"/>
          <w:marTop w:val="0"/>
          <w:marBottom w:val="0"/>
          <w:divBdr>
            <w:top w:val="none" w:sz="0" w:space="0" w:color="auto"/>
            <w:left w:val="none" w:sz="0" w:space="0" w:color="auto"/>
            <w:bottom w:val="none" w:sz="0" w:space="0" w:color="auto"/>
            <w:right w:val="none" w:sz="0" w:space="0" w:color="auto"/>
          </w:divBdr>
          <w:divsChild>
            <w:div w:id="933322533">
              <w:marLeft w:val="0"/>
              <w:marRight w:val="0"/>
              <w:marTop w:val="0"/>
              <w:marBottom w:val="0"/>
              <w:divBdr>
                <w:top w:val="none" w:sz="0" w:space="0" w:color="auto"/>
                <w:left w:val="none" w:sz="0" w:space="0" w:color="auto"/>
                <w:bottom w:val="none" w:sz="0" w:space="0" w:color="auto"/>
                <w:right w:val="none" w:sz="0" w:space="0" w:color="auto"/>
              </w:divBdr>
            </w:div>
          </w:divsChild>
        </w:div>
        <w:div w:id="1848254282">
          <w:marLeft w:val="0"/>
          <w:marRight w:val="0"/>
          <w:marTop w:val="0"/>
          <w:marBottom w:val="0"/>
          <w:divBdr>
            <w:top w:val="none" w:sz="0" w:space="0" w:color="auto"/>
            <w:left w:val="none" w:sz="0" w:space="0" w:color="auto"/>
            <w:bottom w:val="none" w:sz="0" w:space="0" w:color="auto"/>
            <w:right w:val="none" w:sz="0" w:space="0" w:color="auto"/>
          </w:divBdr>
          <w:divsChild>
            <w:div w:id="738945288">
              <w:marLeft w:val="0"/>
              <w:marRight w:val="0"/>
              <w:marTop w:val="0"/>
              <w:marBottom w:val="0"/>
              <w:divBdr>
                <w:top w:val="none" w:sz="0" w:space="0" w:color="auto"/>
                <w:left w:val="none" w:sz="0" w:space="0" w:color="auto"/>
                <w:bottom w:val="none" w:sz="0" w:space="0" w:color="auto"/>
                <w:right w:val="none" w:sz="0" w:space="0" w:color="auto"/>
              </w:divBdr>
            </w:div>
          </w:divsChild>
        </w:div>
        <w:div w:id="1647052415">
          <w:marLeft w:val="0"/>
          <w:marRight w:val="0"/>
          <w:marTop w:val="0"/>
          <w:marBottom w:val="0"/>
          <w:divBdr>
            <w:top w:val="none" w:sz="0" w:space="0" w:color="auto"/>
            <w:left w:val="none" w:sz="0" w:space="0" w:color="auto"/>
            <w:bottom w:val="none" w:sz="0" w:space="0" w:color="auto"/>
            <w:right w:val="none" w:sz="0" w:space="0" w:color="auto"/>
          </w:divBdr>
          <w:divsChild>
            <w:div w:id="2055495426">
              <w:marLeft w:val="0"/>
              <w:marRight w:val="0"/>
              <w:marTop w:val="0"/>
              <w:marBottom w:val="0"/>
              <w:divBdr>
                <w:top w:val="none" w:sz="0" w:space="0" w:color="auto"/>
                <w:left w:val="none" w:sz="0" w:space="0" w:color="auto"/>
                <w:bottom w:val="none" w:sz="0" w:space="0" w:color="auto"/>
                <w:right w:val="none" w:sz="0" w:space="0" w:color="auto"/>
              </w:divBdr>
            </w:div>
          </w:divsChild>
        </w:div>
        <w:div w:id="355354196">
          <w:marLeft w:val="0"/>
          <w:marRight w:val="0"/>
          <w:marTop w:val="0"/>
          <w:marBottom w:val="0"/>
          <w:divBdr>
            <w:top w:val="none" w:sz="0" w:space="0" w:color="auto"/>
            <w:left w:val="none" w:sz="0" w:space="0" w:color="auto"/>
            <w:bottom w:val="none" w:sz="0" w:space="0" w:color="auto"/>
            <w:right w:val="none" w:sz="0" w:space="0" w:color="auto"/>
          </w:divBdr>
          <w:divsChild>
            <w:div w:id="972948090">
              <w:marLeft w:val="0"/>
              <w:marRight w:val="0"/>
              <w:marTop w:val="0"/>
              <w:marBottom w:val="0"/>
              <w:divBdr>
                <w:top w:val="none" w:sz="0" w:space="0" w:color="auto"/>
                <w:left w:val="none" w:sz="0" w:space="0" w:color="auto"/>
                <w:bottom w:val="none" w:sz="0" w:space="0" w:color="auto"/>
                <w:right w:val="none" w:sz="0" w:space="0" w:color="auto"/>
              </w:divBdr>
            </w:div>
          </w:divsChild>
        </w:div>
        <w:div w:id="1552689557">
          <w:marLeft w:val="0"/>
          <w:marRight w:val="0"/>
          <w:marTop w:val="0"/>
          <w:marBottom w:val="0"/>
          <w:divBdr>
            <w:top w:val="none" w:sz="0" w:space="0" w:color="auto"/>
            <w:left w:val="none" w:sz="0" w:space="0" w:color="auto"/>
            <w:bottom w:val="none" w:sz="0" w:space="0" w:color="auto"/>
            <w:right w:val="none" w:sz="0" w:space="0" w:color="auto"/>
          </w:divBdr>
          <w:divsChild>
            <w:div w:id="423376415">
              <w:marLeft w:val="0"/>
              <w:marRight w:val="0"/>
              <w:marTop w:val="0"/>
              <w:marBottom w:val="0"/>
              <w:divBdr>
                <w:top w:val="none" w:sz="0" w:space="0" w:color="auto"/>
                <w:left w:val="none" w:sz="0" w:space="0" w:color="auto"/>
                <w:bottom w:val="none" w:sz="0" w:space="0" w:color="auto"/>
                <w:right w:val="none" w:sz="0" w:space="0" w:color="auto"/>
              </w:divBdr>
            </w:div>
          </w:divsChild>
        </w:div>
        <w:div w:id="62073390">
          <w:marLeft w:val="0"/>
          <w:marRight w:val="0"/>
          <w:marTop w:val="0"/>
          <w:marBottom w:val="0"/>
          <w:divBdr>
            <w:top w:val="none" w:sz="0" w:space="0" w:color="auto"/>
            <w:left w:val="none" w:sz="0" w:space="0" w:color="auto"/>
            <w:bottom w:val="none" w:sz="0" w:space="0" w:color="auto"/>
            <w:right w:val="none" w:sz="0" w:space="0" w:color="auto"/>
          </w:divBdr>
          <w:divsChild>
            <w:div w:id="1156723502">
              <w:marLeft w:val="0"/>
              <w:marRight w:val="0"/>
              <w:marTop w:val="0"/>
              <w:marBottom w:val="0"/>
              <w:divBdr>
                <w:top w:val="none" w:sz="0" w:space="0" w:color="auto"/>
                <w:left w:val="none" w:sz="0" w:space="0" w:color="auto"/>
                <w:bottom w:val="none" w:sz="0" w:space="0" w:color="auto"/>
                <w:right w:val="none" w:sz="0" w:space="0" w:color="auto"/>
              </w:divBdr>
            </w:div>
          </w:divsChild>
        </w:div>
        <w:div w:id="1880358990">
          <w:marLeft w:val="0"/>
          <w:marRight w:val="0"/>
          <w:marTop w:val="0"/>
          <w:marBottom w:val="0"/>
          <w:divBdr>
            <w:top w:val="none" w:sz="0" w:space="0" w:color="auto"/>
            <w:left w:val="none" w:sz="0" w:space="0" w:color="auto"/>
            <w:bottom w:val="none" w:sz="0" w:space="0" w:color="auto"/>
            <w:right w:val="none" w:sz="0" w:space="0" w:color="auto"/>
          </w:divBdr>
          <w:divsChild>
            <w:div w:id="1263490154">
              <w:marLeft w:val="0"/>
              <w:marRight w:val="0"/>
              <w:marTop w:val="0"/>
              <w:marBottom w:val="0"/>
              <w:divBdr>
                <w:top w:val="none" w:sz="0" w:space="0" w:color="auto"/>
                <w:left w:val="none" w:sz="0" w:space="0" w:color="auto"/>
                <w:bottom w:val="none" w:sz="0" w:space="0" w:color="auto"/>
                <w:right w:val="none" w:sz="0" w:space="0" w:color="auto"/>
              </w:divBdr>
            </w:div>
            <w:div w:id="380591897">
              <w:marLeft w:val="0"/>
              <w:marRight w:val="0"/>
              <w:marTop w:val="0"/>
              <w:marBottom w:val="0"/>
              <w:divBdr>
                <w:top w:val="none" w:sz="0" w:space="0" w:color="auto"/>
                <w:left w:val="none" w:sz="0" w:space="0" w:color="auto"/>
                <w:bottom w:val="none" w:sz="0" w:space="0" w:color="auto"/>
                <w:right w:val="none" w:sz="0" w:space="0" w:color="auto"/>
              </w:divBdr>
            </w:div>
          </w:divsChild>
        </w:div>
        <w:div w:id="537473172">
          <w:marLeft w:val="0"/>
          <w:marRight w:val="0"/>
          <w:marTop w:val="0"/>
          <w:marBottom w:val="0"/>
          <w:divBdr>
            <w:top w:val="none" w:sz="0" w:space="0" w:color="auto"/>
            <w:left w:val="none" w:sz="0" w:space="0" w:color="auto"/>
            <w:bottom w:val="none" w:sz="0" w:space="0" w:color="auto"/>
            <w:right w:val="none" w:sz="0" w:space="0" w:color="auto"/>
          </w:divBdr>
          <w:divsChild>
            <w:div w:id="931163118">
              <w:marLeft w:val="0"/>
              <w:marRight w:val="0"/>
              <w:marTop w:val="0"/>
              <w:marBottom w:val="0"/>
              <w:divBdr>
                <w:top w:val="none" w:sz="0" w:space="0" w:color="auto"/>
                <w:left w:val="none" w:sz="0" w:space="0" w:color="auto"/>
                <w:bottom w:val="none" w:sz="0" w:space="0" w:color="auto"/>
                <w:right w:val="none" w:sz="0" w:space="0" w:color="auto"/>
              </w:divBdr>
            </w:div>
          </w:divsChild>
        </w:div>
        <w:div w:id="357001258">
          <w:marLeft w:val="0"/>
          <w:marRight w:val="0"/>
          <w:marTop w:val="0"/>
          <w:marBottom w:val="0"/>
          <w:divBdr>
            <w:top w:val="none" w:sz="0" w:space="0" w:color="auto"/>
            <w:left w:val="none" w:sz="0" w:space="0" w:color="auto"/>
            <w:bottom w:val="none" w:sz="0" w:space="0" w:color="auto"/>
            <w:right w:val="none" w:sz="0" w:space="0" w:color="auto"/>
          </w:divBdr>
          <w:divsChild>
            <w:div w:id="1006248516">
              <w:marLeft w:val="0"/>
              <w:marRight w:val="0"/>
              <w:marTop w:val="0"/>
              <w:marBottom w:val="0"/>
              <w:divBdr>
                <w:top w:val="none" w:sz="0" w:space="0" w:color="auto"/>
                <w:left w:val="none" w:sz="0" w:space="0" w:color="auto"/>
                <w:bottom w:val="none" w:sz="0" w:space="0" w:color="auto"/>
                <w:right w:val="none" w:sz="0" w:space="0" w:color="auto"/>
              </w:divBdr>
            </w:div>
            <w:div w:id="411510770">
              <w:marLeft w:val="0"/>
              <w:marRight w:val="0"/>
              <w:marTop w:val="0"/>
              <w:marBottom w:val="0"/>
              <w:divBdr>
                <w:top w:val="none" w:sz="0" w:space="0" w:color="auto"/>
                <w:left w:val="none" w:sz="0" w:space="0" w:color="auto"/>
                <w:bottom w:val="none" w:sz="0" w:space="0" w:color="auto"/>
                <w:right w:val="none" w:sz="0" w:space="0" w:color="auto"/>
              </w:divBdr>
            </w:div>
          </w:divsChild>
        </w:div>
        <w:div w:id="1963413654">
          <w:marLeft w:val="0"/>
          <w:marRight w:val="0"/>
          <w:marTop w:val="0"/>
          <w:marBottom w:val="0"/>
          <w:divBdr>
            <w:top w:val="none" w:sz="0" w:space="0" w:color="auto"/>
            <w:left w:val="none" w:sz="0" w:space="0" w:color="auto"/>
            <w:bottom w:val="none" w:sz="0" w:space="0" w:color="auto"/>
            <w:right w:val="none" w:sz="0" w:space="0" w:color="auto"/>
          </w:divBdr>
          <w:divsChild>
            <w:div w:id="861280541">
              <w:marLeft w:val="0"/>
              <w:marRight w:val="0"/>
              <w:marTop w:val="0"/>
              <w:marBottom w:val="0"/>
              <w:divBdr>
                <w:top w:val="none" w:sz="0" w:space="0" w:color="auto"/>
                <w:left w:val="none" w:sz="0" w:space="0" w:color="auto"/>
                <w:bottom w:val="none" w:sz="0" w:space="0" w:color="auto"/>
                <w:right w:val="none" w:sz="0" w:space="0" w:color="auto"/>
              </w:divBdr>
            </w:div>
          </w:divsChild>
        </w:div>
        <w:div w:id="59599587">
          <w:marLeft w:val="0"/>
          <w:marRight w:val="0"/>
          <w:marTop w:val="0"/>
          <w:marBottom w:val="0"/>
          <w:divBdr>
            <w:top w:val="none" w:sz="0" w:space="0" w:color="auto"/>
            <w:left w:val="none" w:sz="0" w:space="0" w:color="auto"/>
            <w:bottom w:val="none" w:sz="0" w:space="0" w:color="auto"/>
            <w:right w:val="none" w:sz="0" w:space="0" w:color="auto"/>
          </w:divBdr>
          <w:divsChild>
            <w:div w:id="467162212">
              <w:marLeft w:val="0"/>
              <w:marRight w:val="0"/>
              <w:marTop w:val="0"/>
              <w:marBottom w:val="0"/>
              <w:divBdr>
                <w:top w:val="none" w:sz="0" w:space="0" w:color="auto"/>
                <w:left w:val="none" w:sz="0" w:space="0" w:color="auto"/>
                <w:bottom w:val="none" w:sz="0" w:space="0" w:color="auto"/>
                <w:right w:val="none" w:sz="0" w:space="0" w:color="auto"/>
              </w:divBdr>
            </w:div>
            <w:div w:id="604195432">
              <w:marLeft w:val="0"/>
              <w:marRight w:val="0"/>
              <w:marTop w:val="0"/>
              <w:marBottom w:val="0"/>
              <w:divBdr>
                <w:top w:val="none" w:sz="0" w:space="0" w:color="auto"/>
                <w:left w:val="none" w:sz="0" w:space="0" w:color="auto"/>
                <w:bottom w:val="none" w:sz="0" w:space="0" w:color="auto"/>
                <w:right w:val="none" w:sz="0" w:space="0" w:color="auto"/>
              </w:divBdr>
            </w:div>
          </w:divsChild>
        </w:div>
        <w:div w:id="1145590762">
          <w:marLeft w:val="0"/>
          <w:marRight w:val="0"/>
          <w:marTop w:val="0"/>
          <w:marBottom w:val="0"/>
          <w:divBdr>
            <w:top w:val="none" w:sz="0" w:space="0" w:color="auto"/>
            <w:left w:val="none" w:sz="0" w:space="0" w:color="auto"/>
            <w:bottom w:val="none" w:sz="0" w:space="0" w:color="auto"/>
            <w:right w:val="none" w:sz="0" w:space="0" w:color="auto"/>
          </w:divBdr>
          <w:divsChild>
            <w:div w:id="976833113">
              <w:marLeft w:val="0"/>
              <w:marRight w:val="0"/>
              <w:marTop w:val="0"/>
              <w:marBottom w:val="0"/>
              <w:divBdr>
                <w:top w:val="none" w:sz="0" w:space="0" w:color="auto"/>
                <w:left w:val="none" w:sz="0" w:space="0" w:color="auto"/>
                <w:bottom w:val="none" w:sz="0" w:space="0" w:color="auto"/>
                <w:right w:val="none" w:sz="0" w:space="0" w:color="auto"/>
              </w:divBdr>
            </w:div>
          </w:divsChild>
        </w:div>
        <w:div w:id="1539512567">
          <w:marLeft w:val="0"/>
          <w:marRight w:val="0"/>
          <w:marTop w:val="0"/>
          <w:marBottom w:val="0"/>
          <w:divBdr>
            <w:top w:val="none" w:sz="0" w:space="0" w:color="auto"/>
            <w:left w:val="none" w:sz="0" w:space="0" w:color="auto"/>
            <w:bottom w:val="none" w:sz="0" w:space="0" w:color="auto"/>
            <w:right w:val="none" w:sz="0" w:space="0" w:color="auto"/>
          </w:divBdr>
          <w:divsChild>
            <w:div w:id="1743797775">
              <w:marLeft w:val="0"/>
              <w:marRight w:val="0"/>
              <w:marTop w:val="0"/>
              <w:marBottom w:val="0"/>
              <w:divBdr>
                <w:top w:val="none" w:sz="0" w:space="0" w:color="auto"/>
                <w:left w:val="none" w:sz="0" w:space="0" w:color="auto"/>
                <w:bottom w:val="none" w:sz="0" w:space="0" w:color="auto"/>
                <w:right w:val="none" w:sz="0" w:space="0" w:color="auto"/>
              </w:divBdr>
            </w:div>
          </w:divsChild>
        </w:div>
        <w:div w:id="16855246">
          <w:marLeft w:val="0"/>
          <w:marRight w:val="0"/>
          <w:marTop w:val="0"/>
          <w:marBottom w:val="0"/>
          <w:divBdr>
            <w:top w:val="none" w:sz="0" w:space="0" w:color="auto"/>
            <w:left w:val="none" w:sz="0" w:space="0" w:color="auto"/>
            <w:bottom w:val="none" w:sz="0" w:space="0" w:color="auto"/>
            <w:right w:val="none" w:sz="0" w:space="0" w:color="auto"/>
          </w:divBdr>
          <w:divsChild>
            <w:div w:id="1576470495">
              <w:marLeft w:val="0"/>
              <w:marRight w:val="0"/>
              <w:marTop w:val="0"/>
              <w:marBottom w:val="0"/>
              <w:divBdr>
                <w:top w:val="none" w:sz="0" w:space="0" w:color="auto"/>
                <w:left w:val="none" w:sz="0" w:space="0" w:color="auto"/>
                <w:bottom w:val="none" w:sz="0" w:space="0" w:color="auto"/>
                <w:right w:val="none" w:sz="0" w:space="0" w:color="auto"/>
              </w:divBdr>
            </w:div>
            <w:div w:id="1911649298">
              <w:marLeft w:val="0"/>
              <w:marRight w:val="0"/>
              <w:marTop w:val="0"/>
              <w:marBottom w:val="0"/>
              <w:divBdr>
                <w:top w:val="none" w:sz="0" w:space="0" w:color="auto"/>
                <w:left w:val="none" w:sz="0" w:space="0" w:color="auto"/>
                <w:bottom w:val="none" w:sz="0" w:space="0" w:color="auto"/>
                <w:right w:val="none" w:sz="0" w:space="0" w:color="auto"/>
              </w:divBdr>
            </w:div>
          </w:divsChild>
        </w:div>
        <w:div w:id="2118256888">
          <w:marLeft w:val="0"/>
          <w:marRight w:val="0"/>
          <w:marTop w:val="0"/>
          <w:marBottom w:val="0"/>
          <w:divBdr>
            <w:top w:val="none" w:sz="0" w:space="0" w:color="auto"/>
            <w:left w:val="none" w:sz="0" w:space="0" w:color="auto"/>
            <w:bottom w:val="none" w:sz="0" w:space="0" w:color="auto"/>
            <w:right w:val="none" w:sz="0" w:space="0" w:color="auto"/>
          </w:divBdr>
          <w:divsChild>
            <w:div w:id="1459957369">
              <w:marLeft w:val="0"/>
              <w:marRight w:val="0"/>
              <w:marTop w:val="0"/>
              <w:marBottom w:val="0"/>
              <w:divBdr>
                <w:top w:val="none" w:sz="0" w:space="0" w:color="auto"/>
                <w:left w:val="none" w:sz="0" w:space="0" w:color="auto"/>
                <w:bottom w:val="none" w:sz="0" w:space="0" w:color="auto"/>
                <w:right w:val="none" w:sz="0" w:space="0" w:color="auto"/>
              </w:divBdr>
            </w:div>
          </w:divsChild>
        </w:div>
        <w:div w:id="803474816">
          <w:marLeft w:val="0"/>
          <w:marRight w:val="0"/>
          <w:marTop w:val="0"/>
          <w:marBottom w:val="0"/>
          <w:divBdr>
            <w:top w:val="none" w:sz="0" w:space="0" w:color="auto"/>
            <w:left w:val="none" w:sz="0" w:space="0" w:color="auto"/>
            <w:bottom w:val="none" w:sz="0" w:space="0" w:color="auto"/>
            <w:right w:val="none" w:sz="0" w:space="0" w:color="auto"/>
          </w:divBdr>
          <w:divsChild>
            <w:div w:id="477192543">
              <w:marLeft w:val="0"/>
              <w:marRight w:val="0"/>
              <w:marTop w:val="0"/>
              <w:marBottom w:val="0"/>
              <w:divBdr>
                <w:top w:val="none" w:sz="0" w:space="0" w:color="auto"/>
                <w:left w:val="none" w:sz="0" w:space="0" w:color="auto"/>
                <w:bottom w:val="none" w:sz="0" w:space="0" w:color="auto"/>
                <w:right w:val="none" w:sz="0" w:space="0" w:color="auto"/>
              </w:divBdr>
            </w:div>
            <w:div w:id="680936294">
              <w:marLeft w:val="0"/>
              <w:marRight w:val="0"/>
              <w:marTop w:val="0"/>
              <w:marBottom w:val="0"/>
              <w:divBdr>
                <w:top w:val="none" w:sz="0" w:space="0" w:color="auto"/>
                <w:left w:val="none" w:sz="0" w:space="0" w:color="auto"/>
                <w:bottom w:val="none" w:sz="0" w:space="0" w:color="auto"/>
                <w:right w:val="none" w:sz="0" w:space="0" w:color="auto"/>
              </w:divBdr>
            </w:div>
          </w:divsChild>
        </w:div>
        <w:div w:id="1545562211">
          <w:marLeft w:val="0"/>
          <w:marRight w:val="0"/>
          <w:marTop w:val="0"/>
          <w:marBottom w:val="0"/>
          <w:divBdr>
            <w:top w:val="none" w:sz="0" w:space="0" w:color="auto"/>
            <w:left w:val="none" w:sz="0" w:space="0" w:color="auto"/>
            <w:bottom w:val="none" w:sz="0" w:space="0" w:color="auto"/>
            <w:right w:val="none" w:sz="0" w:space="0" w:color="auto"/>
          </w:divBdr>
          <w:divsChild>
            <w:div w:id="1918662663">
              <w:marLeft w:val="0"/>
              <w:marRight w:val="0"/>
              <w:marTop w:val="0"/>
              <w:marBottom w:val="0"/>
              <w:divBdr>
                <w:top w:val="none" w:sz="0" w:space="0" w:color="auto"/>
                <w:left w:val="none" w:sz="0" w:space="0" w:color="auto"/>
                <w:bottom w:val="none" w:sz="0" w:space="0" w:color="auto"/>
                <w:right w:val="none" w:sz="0" w:space="0" w:color="auto"/>
              </w:divBdr>
            </w:div>
          </w:divsChild>
        </w:div>
        <w:div w:id="605120708">
          <w:marLeft w:val="0"/>
          <w:marRight w:val="0"/>
          <w:marTop w:val="0"/>
          <w:marBottom w:val="0"/>
          <w:divBdr>
            <w:top w:val="none" w:sz="0" w:space="0" w:color="auto"/>
            <w:left w:val="none" w:sz="0" w:space="0" w:color="auto"/>
            <w:bottom w:val="none" w:sz="0" w:space="0" w:color="auto"/>
            <w:right w:val="none" w:sz="0" w:space="0" w:color="auto"/>
          </w:divBdr>
          <w:divsChild>
            <w:div w:id="1256784778">
              <w:marLeft w:val="0"/>
              <w:marRight w:val="0"/>
              <w:marTop w:val="0"/>
              <w:marBottom w:val="0"/>
              <w:divBdr>
                <w:top w:val="none" w:sz="0" w:space="0" w:color="auto"/>
                <w:left w:val="none" w:sz="0" w:space="0" w:color="auto"/>
                <w:bottom w:val="none" w:sz="0" w:space="0" w:color="auto"/>
                <w:right w:val="none" w:sz="0" w:space="0" w:color="auto"/>
              </w:divBdr>
            </w:div>
            <w:div w:id="1099253476">
              <w:marLeft w:val="0"/>
              <w:marRight w:val="0"/>
              <w:marTop w:val="0"/>
              <w:marBottom w:val="0"/>
              <w:divBdr>
                <w:top w:val="none" w:sz="0" w:space="0" w:color="auto"/>
                <w:left w:val="none" w:sz="0" w:space="0" w:color="auto"/>
                <w:bottom w:val="none" w:sz="0" w:space="0" w:color="auto"/>
                <w:right w:val="none" w:sz="0" w:space="0" w:color="auto"/>
              </w:divBdr>
            </w:div>
          </w:divsChild>
        </w:div>
        <w:div w:id="1440679513">
          <w:marLeft w:val="0"/>
          <w:marRight w:val="0"/>
          <w:marTop w:val="0"/>
          <w:marBottom w:val="0"/>
          <w:divBdr>
            <w:top w:val="none" w:sz="0" w:space="0" w:color="auto"/>
            <w:left w:val="none" w:sz="0" w:space="0" w:color="auto"/>
            <w:bottom w:val="none" w:sz="0" w:space="0" w:color="auto"/>
            <w:right w:val="none" w:sz="0" w:space="0" w:color="auto"/>
          </w:divBdr>
          <w:divsChild>
            <w:div w:id="1444884679">
              <w:marLeft w:val="0"/>
              <w:marRight w:val="0"/>
              <w:marTop w:val="0"/>
              <w:marBottom w:val="0"/>
              <w:divBdr>
                <w:top w:val="none" w:sz="0" w:space="0" w:color="auto"/>
                <w:left w:val="none" w:sz="0" w:space="0" w:color="auto"/>
                <w:bottom w:val="none" w:sz="0" w:space="0" w:color="auto"/>
                <w:right w:val="none" w:sz="0" w:space="0" w:color="auto"/>
              </w:divBdr>
            </w:div>
          </w:divsChild>
        </w:div>
        <w:div w:id="14423146">
          <w:marLeft w:val="0"/>
          <w:marRight w:val="0"/>
          <w:marTop w:val="0"/>
          <w:marBottom w:val="0"/>
          <w:divBdr>
            <w:top w:val="none" w:sz="0" w:space="0" w:color="auto"/>
            <w:left w:val="none" w:sz="0" w:space="0" w:color="auto"/>
            <w:bottom w:val="none" w:sz="0" w:space="0" w:color="auto"/>
            <w:right w:val="none" w:sz="0" w:space="0" w:color="auto"/>
          </w:divBdr>
          <w:divsChild>
            <w:div w:id="307321318">
              <w:marLeft w:val="0"/>
              <w:marRight w:val="0"/>
              <w:marTop w:val="0"/>
              <w:marBottom w:val="0"/>
              <w:divBdr>
                <w:top w:val="none" w:sz="0" w:space="0" w:color="auto"/>
                <w:left w:val="none" w:sz="0" w:space="0" w:color="auto"/>
                <w:bottom w:val="none" w:sz="0" w:space="0" w:color="auto"/>
                <w:right w:val="none" w:sz="0" w:space="0" w:color="auto"/>
              </w:divBdr>
            </w:div>
          </w:divsChild>
        </w:div>
        <w:div w:id="331570246">
          <w:marLeft w:val="0"/>
          <w:marRight w:val="0"/>
          <w:marTop w:val="0"/>
          <w:marBottom w:val="0"/>
          <w:divBdr>
            <w:top w:val="none" w:sz="0" w:space="0" w:color="auto"/>
            <w:left w:val="none" w:sz="0" w:space="0" w:color="auto"/>
            <w:bottom w:val="none" w:sz="0" w:space="0" w:color="auto"/>
            <w:right w:val="none" w:sz="0" w:space="0" w:color="auto"/>
          </w:divBdr>
          <w:divsChild>
            <w:div w:id="1172793268">
              <w:marLeft w:val="0"/>
              <w:marRight w:val="0"/>
              <w:marTop w:val="0"/>
              <w:marBottom w:val="0"/>
              <w:divBdr>
                <w:top w:val="none" w:sz="0" w:space="0" w:color="auto"/>
                <w:left w:val="none" w:sz="0" w:space="0" w:color="auto"/>
                <w:bottom w:val="none" w:sz="0" w:space="0" w:color="auto"/>
                <w:right w:val="none" w:sz="0" w:space="0" w:color="auto"/>
              </w:divBdr>
            </w:div>
            <w:div w:id="2066104965">
              <w:marLeft w:val="0"/>
              <w:marRight w:val="0"/>
              <w:marTop w:val="0"/>
              <w:marBottom w:val="0"/>
              <w:divBdr>
                <w:top w:val="none" w:sz="0" w:space="0" w:color="auto"/>
                <w:left w:val="none" w:sz="0" w:space="0" w:color="auto"/>
                <w:bottom w:val="none" w:sz="0" w:space="0" w:color="auto"/>
                <w:right w:val="none" w:sz="0" w:space="0" w:color="auto"/>
              </w:divBdr>
            </w:div>
          </w:divsChild>
        </w:div>
        <w:div w:id="101344254">
          <w:marLeft w:val="0"/>
          <w:marRight w:val="0"/>
          <w:marTop w:val="0"/>
          <w:marBottom w:val="0"/>
          <w:divBdr>
            <w:top w:val="none" w:sz="0" w:space="0" w:color="auto"/>
            <w:left w:val="none" w:sz="0" w:space="0" w:color="auto"/>
            <w:bottom w:val="none" w:sz="0" w:space="0" w:color="auto"/>
            <w:right w:val="none" w:sz="0" w:space="0" w:color="auto"/>
          </w:divBdr>
          <w:divsChild>
            <w:div w:id="2131589309">
              <w:marLeft w:val="0"/>
              <w:marRight w:val="0"/>
              <w:marTop w:val="0"/>
              <w:marBottom w:val="0"/>
              <w:divBdr>
                <w:top w:val="none" w:sz="0" w:space="0" w:color="auto"/>
                <w:left w:val="none" w:sz="0" w:space="0" w:color="auto"/>
                <w:bottom w:val="none" w:sz="0" w:space="0" w:color="auto"/>
                <w:right w:val="none" w:sz="0" w:space="0" w:color="auto"/>
              </w:divBdr>
            </w:div>
          </w:divsChild>
        </w:div>
        <w:div w:id="1107775263">
          <w:marLeft w:val="0"/>
          <w:marRight w:val="0"/>
          <w:marTop w:val="0"/>
          <w:marBottom w:val="0"/>
          <w:divBdr>
            <w:top w:val="none" w:sz="0" w:space="0" w:color="auto"/>
            <w:left w:val="none" w:sz="0" w:space="0" w:color="auto"/>
            <w:bottom w:val="none" w:sz="0" w:space="0" w:color="auto"/>
            <w:right w:val="none" w:sz="0" w:space="0" w:color="auto"/>
          </w:divBdr>
          <w:divsChild>
            <w:div w:id="833839352">
              <w:marLeft w:val="0"/>
              <w:marRight w:val="0"/>
              <w:marTop w:val="0"/>
              <w:marBottom w:val="0"/>
              <w:divBdr>
                <w:top w:val="none" w:sz="0" w:space="0" w:color="auto"/>
                <w:left w:val="none" w:sz="0" w:space="0" w:color="auto"/>
                <w:bottom w:val="none" w:sz="0" w:space="0" w:color="auto"/>
                <w:right w:val="none" w:sz="0" w:space="0" w:color="auto"/>
              </w:divBdr>
            </w:div>
            <w:div w:id="954943955">
              <w:marLeft w:val="0"/>
              <w:marRight w:val="0"/>
              <w:marTop w:val="0"/>
              <w:marBottom w:val="0"/>
              <w:divBdr>
                <w:top w:val="none" w:sz="0" w:space="0" w:color="auto"/>
                <w:left w:val="none" w:sz="0" w:space="0" w:color="auto"/>
                <w:bottom w:val="none" w:sz="0" w:space="0" w:color="auto"/>
                <w:right w:val="none" w:sz="0" w:space="0" w:color="auto"/>
              </w:divBdr>
            </w:div>
          </w:divsChild>
        </w:div>
        <w:div w:id="418986039">
          <w:marLeft w:val="0"/>
          <w:marRight w:val="0"/>
          <w:marTop w:val="0"/>
          <w:marBottom w:val="0"/>
          <w:divBdr>
            <w:top w:val="none" w:sz="0" w:space="0" w:color="auto"/>
            <w:left w:val="none" w:sz="0" w:space="0" w:color="auto"/>
            <w:bottom w:val="none" w:sz="0" w:space="0" w:color="auto"/>
            <w:right w:val="none" w:sz="0" w:space="0" w:color="auto"/>
          </w:divBdr>
          <w:divsChild>
            <w:div w:id="23674344">
              <w:marLeft w:val="0"/>
              <w:marRight w:val="0"/>
              <w:marTop w:val="0"/>
              <w:marBottom w:val="0"/>
              <w:divBdr>
                <w:top w:val="none" w:sz="0" w:space="0" w:color="auto"/>
                <w:left w:val="none" w:sz="0" w:space="0" w:color="auto"/>
                <w:bottom w:val="none" w:sz="0" w:space="0" w:color="auto"/>
                <w:right w:val="none" w:sz="0" w:space="0" w:color="auto"/>
              </w:divBdr>
            </w:div>
          </w:divsChild>
        </w:div>
        <w:div w:id="420763884">
          <w:marLeft w:val="0"/>
          <w:marRight w:val="0"/>
          <w:marTop w:val="0"/>
          <w:marBottom w:val="0"/>
          <w:divBdr>
            <w:top w:val="none" w:sz="0" w:space="0" w:color="auto"/>
            <w:left w:val="none" w:sz="0" w:space="0" w:color="auto"/>
            <w:bottom w:val="none" w:sz="0" w:space="0" w:color="auto"/>
            <w:right w:val="none" w:sz="0" w:space="0" w:color="auto"/>
          </w:divBdr>
          <w:divsChild>
            <w:div w:id="894006442">
              <w:marLeft w:val="0"/>
              <w:marRight w:val="0"/>
              <w:marTop w:val="0"/>
              <w:marBottom w:val="0"/>
              <w:divBdr>
                <w:top w:val="none" w:sz="0" w:space="0" w:color="auto"/>
                <w:left w:val="none" w:sz="0" w:space="0" w:color="auto"/>
                <w:bottom w:val="none" w:sz="0" w:space="0" w:color="auto"/>
                <w:right w:val="none" w:sz="0" w:space="0" w:color="auto"/>
              </w:divBdr>
            </w:div>
            <w:div w:id="1242716570">
              <w:marLeft w:val="0"/>
              <w:marRight w:val="0"/>
              <w:marTop w:val="0"/>
              <w:marBottom w:val="0"/>
              <w:divBdr>
                <w:top w:val="none" w:sz="0" w:space="0" w:color="auto"/>
                <w:left w:val="none" w:sz="0" w:space="0" w:color="auto"/>
                <w:bottom w:val="none" w:sz="0" w:space="0" w:color="auto"/>
                <w:right w:val="none" w:sz="0" w:space="0" w:color="auto"/>
              </w:divBdr>
            </w:div>
          </w:divsChild>
        </w:div>
        <w:div w:id="1584756058">
          <w:marLeft w:val="0"/>
          <w:marRight w:val="0"/>
          <w:marTop w:val="0"/>
          <w:marBottom w:val="0"/>
          <w:divBdr>
            <w:top w:val="none" w:sz="0" w:space="0" w:color="auto"/>
            <w:left w:val="none" w:sz="0" w:space="0" w:color="auto"/>
            <w:bottom w:val="none" w:sz="0" w:space="0" w:color="auto"/>
            <w:right w:val="none" w:sz="0" w:space="0" w:color="auto"/>
          </w:divBdr>
          <w:divsChild>
            <w:div w:id="175458972">
              <w:marLeft w:val="0"/>
              <w:marRight w:val="0"/>
              <w:marTop w:val="0"/>
              <w:marBottom w:val="0"/>
              <w:divBdr>
                <w:top w:val="none" w:sz="0" w:space="0" w:color="auto"/>
                <w:left w:val="none" w:sz="0" w:space="0" w:color="auto"/>
                <w:bottom w:val="none" w:sz="0" w:space="0" w:color="auto"/>
                <w:right w:val="none" w:sz="0" w:space="0" w:color="auto"/>
              </w:divBdr>
            </w:div>
          </w:divsChild>
        </w:div>
        <w:div w:id="1350059709">
          <w:marLeft w:val="0"/>
          <w:marRight w:val="0"/>
          <w:marTop w:val="0"/>
          <w:marBottom w:val="0"/>
          <w:divBdr>
            <w:top w:val="none" w:sz="0" w:space="0" w:color="auto"/>
            <w:left w:val="none" w:sz="0" w:space="0" w:color="auto"/>
            <w:bottom w:val="none" w:sz="0" w:space="0" w:color="auto"/>
            <w:right w:val="none" w:sz="0" w:space="0" w:color="auto"/>
          </w:divBdr>
          <w:divsChild>
            <w:div w:id="917253098">
              <w:marLeft w:val="0"/>
              <w:marRight w:val="0"/>
              <w:marTop w:val="0"/>
              <w:marBottom w:val="0"/>
              <w:divBdr>
                <w:top w:val="none" w:sz="0" w:space="0" w:color="auto"/>
                <w:left w:val="none" w:sz="0" w:space="0" w:color="auto"/>
                <w:bottom w:val="none" w:sz="0" w:space="0" w:color="auto"/>
                <w:right w:val="none" w:sz="0" w:space="0" w:color="auto"/>
              </w:divBdr>
            </w:div>
          </w:divsChild>
        </w:div>
        <w:div w:id="1652825139">
          <w:marLeft w:val="0"/>
          <w:marRight w:val="0"/>
          <w:marTop w:val="0"/>
          <w:marBottom w:val="0"/>
          <w:divBdr>
            <w:top w:val="none" w:sz="0" w:space="0" w:color="auto"/>
            <w:left w:val="none" w:sz="0" w:space="0" w:color="auto"/>
            <w:bottom w:val="none" w:sz="0" w:space="0" w:color="auto"/>
            <w:right w:val="none" w:sz="0" w:space="0" w:color="auto"/>
          </w:divBdr>
          <w:divsChild>
            <w:div w:id="1403722159">
              <w:marLeft w:val="0"/>
              <w:marRight w:val="0"/>
              <w:marTop w:val="0"/>
              <w:marBottom w:val="0"/>
              <w:divBdr>
                <w:top w:val="none" w:sz="0" w:space="0" w:color="auto"/>
                <w:left w:val="none" w:sz="0" w:space="0" w:color="auto"/>
                <w:bottom w:val="none" w:sz="0" w:space="0" w:color="auto"/>
                <w:right w:val="none" w:sz="0" w:space="0" w:color="auto"/>
              </w:divBdr>
            </w:div>
          </w:divsChild>
        </w:div>
        <w:div w:id="1020157286">
          <w:marLeft w:val="0"/>
          <w:marRight w:val="0"/>
          <w:marTop w:val="0"/>
          <w:marBottom w:val="0"/>
          <w:divBdr>
            <w:top w:val="none" w:sz="0" w:space="0" w:color="auto"/>
            <w:left w:val="none" w:sz="0" w:space="0" w:color="auto"/>
            <w:bottom w:val="none" w:sz="0" w:space="0" w:color="auto"/>
            <w:right w:val="none" w:sz="0" w:space="0" w:color="auto"/>
          </w:divBdr>
          <w:divsChild>
            <w:div w:id="1898662919">
              <w:marLeft w:val="0"/>
              <w:marRight w:val="0"/>
              <w:marTop w:val="0"/>
              <w:marBottom w:val="0"/>
              <w:divBdr>
                <w:top w:val="none" w:sz="0" w:space="0" w:color="auto"/>
                <w:left w:val="none" w:sz="0" w:space="0" w:color="auto"/>
                <w:bottom w:val="none" w:sz="0" w:space="0" w:color="auto"/>
                <w:right w:val="none" w:sz="0" w:space="0" w:color="auto"/>
              </w:divBdr>
            </w:div>
          </w:divsChild>
        </w:div>
        <w:div w:id="500582252">
          <w:marLeft w:val="0"/>
          <w:marRight w:val="0"/>
          <w:marTop w:val="0"/>
          <w:marBottom w:val="0"/>
          <w:divBdr>
            <w:top w:val="none" w:sz="0" w:space="0" w:color="auto"/>
            <w:left w:val="none" w:sz="0" w:space="0" w:color="auto"/>
            <w:bottom w:val="none" w:sz="0" w:space="0" w:color="auto"/>
            <w:right w:val="none" w:sz="0" w:space="0" w:color="auto"/>
          </w:divBdr>
          <w:divsChild>
            <w:div w:id="972250273">
              <w:marLeft w:val="0"/>
              <w:marRight w:val="0"/>
              <w:marTop w:val="0"/>
              <w:marBottom w:val="0"/>
              <w:divBdr>
                <w:top w:val="none" w:sz="0" w:space="0" w:color="auto"/>
                <w:left w:val="none" w:sz="0" w:space="0" w:color="auto"/>
                <w:bottom w:val="none" w:sz="0" w:space="0" w:color="auto"/>
                <w:right w:val="none" w:sz="0" w:space="0" w:color="auto"/>
              </w:divBdr>
            </w:div>
          </w:divsChild>
        </w:div>
        <w:div w:id="221331440">
          <w:marLeft w:val="0"/>
          <w:marRight w:val="0"/>
          <w:marTop w:val="0"/>
          <w:marBottom w:val="0"/>
          <w:divBdr>
            <w:top w:val="none" w:sz="0" w:space="0" w:color="auto"/>
            <w:left w:val="none" w:sz="0" w:space="0" w:color="auto"/>
            <w:bottom w:val="none" w:sz="0" w:space="0" w:color="auto"/>
            <w:right w:val="none" w:sz="0" w:space="0" w:color="auto"/>
          </w:divBdr>
          <w:divsChild>
            <w:div w:id="158933685">
              <w:marLeft w:val="0"/>
              <w:marRight w:val="0"/>
              <w:marTop w:val="0"/>
              <w:marBottom w:val="0"/>
              <w:divBdr>
                <w:top w:val="none" w:sz="0" w:space="0" w:color="auto"/>
                <w:left w:val="none" w:sz="0" w:space="0" w:color="auto"/>
                <w:bottom w:val="none" w:sz="0" w:space="0" w:color="auto"/>
                <w:right w:val="none" w:sz="0" w:space="0" w:color="auto"/>
              </w:divBdr>
            </w:div>
          </w:divsChild>
        </w:div>
        <w:div w:id="1339425232">
          <w:marLeft w:val="0"/>
          <w:marRight w:val="0"/>
          <w:marTop w:val="0"/>
          <w:marBottom w:val="0"/>
          <w:divBdr>
            <w:top w:val="none" w:sz="0" w:space="0" w:color="auto"/>
            <w:left w:val="none" w:sz="0" w:space="0" w:color="auto"/>
            <w:bottom w:val="none" w:sz="0" w:space="0" w:color="auto"/>
            <w:right w:val="none" w:sz="0" w:space="0" w:color="auto"/>
          </w:divBdr>
          <w:divsChild>
            <w:div w:id="1757096818">
              <w:marLeft w:val="0"/>
              <w:marRight w:val="0"/>
              <w:marTop w:val="0"/>
              <w:marBottom w:val="0"/>
              <w:divBdr>
                <w:top w:val="none" w:sz="0" w:space="0" w:color="auto"/>
                <w:left w:val="none" w:sz="0" w:space="0" w:color="auto"/>
                <w:bottom w:val="none" w:sz="0" w:space="0" w:color="auto"/>
                <w:right w:val="none" w:sz="0" w:space="0" w:color="auto"/>
              </w:divBdr>
            </w:div>
          </w:divsChild>
        </w:div>
        <w:div w:id="522747300">
          <w:marLeft w:val="0"/>
          <w:marRight w:val="0"/>
          <w:marTop w:val="0"/>
          <w:marBottom w:val="0"/>
          <w:divBdr>
            <w:top w:val="none" w:sz="0" w:space="0" w:color="auto"/>
            <w:left w:val="none" w:sz="0" w:space="0" w:color="auto"/>
            <w:bottom w:val="none" w:sz="0" w:space="0" w:color="auto"/>
            <w:right w:val="none" w:sz="0" w:space="0" w:color="auto"/>
          </w:divBdr>
          <w:divsChild>
            <w:div w:id="348261601">
              <w:marLeft w:val="0"/>
              <w:marRight w:val="0"/>
              <w:marTop w:val="0"/>
              <w:marBottom w:val="0"/>
              <w:divBdr>
                <w:top w:val="none" w:sz="0" w:space="0" w:color="auto"/>
                <w:left w:val="none" w:sz="0" w:space="0" w:color="auto"/>
                <w:bottom w:val="none" w:sz="0" w:space="0" w:color="auto"/>
                <w:right w:val="none" w:sz="0" w:space="0" w:color="auto"/>
              </w:divBdr>
            </w:div>
          </w:divsChild>
        </w:div>
        <w:div w:id="1651248215">
          <w:marLeft w:val="0"/>
          <w:marRight w:val="0"/>
          <w:marTop w:val="0"/>
          <w:marBottom w:val="0"/>
          <w:divBdr>
            <w:top w:val="none" w:sz="0" w:space="0" w:color="auto"/>
            <w:left w:val="none" w:sz="0" w:space="0" w:color="auto"/>
            <w:bottom w:val="none" w:sz="0" w:space="0" w:color="auto"/>
            <w:right w:val="none" w:sz="0" w:space="0" w:color="auto"/>
          </w:divBdr>
          <w:divsChild>
            <w:div w:id="514658878">
              <w:marLeft w:val="0"/>
              <w:marRight w:val="0"/>
              <w:marTop w:val="0"/>
              <w:marBottom w:val="0"/>
              <w:divBdr>
                <w:top w:val="none" w:sz="0" w:space="0" w:color="auto"/>
                <w:left w:val="none" w:sz="0" w:space="0" w:color="auto"/>
                <w:bottom w:val="none" w:sz="0" w:space="0" w:color="auto"/>
                <w:right w:val="none" w:sz="0" w:space="0" w:color="auto"/>
              </w:divBdr>
            </w:div>
          </w:divsChild>
        </w:div>
        <w:div w:id="2042825903">
          <w:marLeft w:val="0"/>
          <w:marRight w:val="0"/>
          <w:marTop w:val="0"/>
          <w:marBottom w:val="0"/>
          <w:divBdr>
            <w:top w:val="none" w:sz="0" w:space="0" w:color="auto"/>
            <w:left w:val="none" w:sz="0" w:space="0" w:color="auto"/>
            <w:bottom w:val="none" w:sz="0" w:space="0" w:color="auto"/>
            <w:right w:val="none" w:sz="0" w:space="0" w:color="auto"/>
          </w:divBdr>
          <w:divsChild>
            <w:div w:id="1747846514">
              <w:marLeft w:val="0"/>
              <w:marRight w:val="0"/>
              <w:marTop w:val="0"/>
              <w:marBottom w:val="0"/>
              <w:divBdr>
                <w:top w:val="none" w:sz="0" w:space="0" w:color="auto"/>
                <w:left w:val="none" w:sz="0" w:space="0" w:color="auto"/>
                <w:bottom w:val="none" w:sz="0" w:space="0" w:color="auto"/>
                <w:right w:val="none" w:sz="0" w:space="0" w:color="auto"/>
              </w:divBdr>
            </w:div>
          </w:divsChild>
        </w:div>
        <w:div w:id="1454249120">
          <w:marLeft w:val="0"/>
          <w:marRight w:val="0"/>
          <w:marTop w:val="0"/>
          <w:marBottom w:val="0"/>
          <w:divBdr>
            <w:top w:val="none" w:sz="0" w:space="0" w:color="auto"/>
            <w:left w:val="none" w:sz="0" w:space="0" w:color="auto"/>
            <w:bottom w:val="none" w:sz="0" w:space="0" w:color="auto"/>
            <w:right w:val="none" w:sz="0" w:space="0" w:color="auto"/>
          </w:divBdr>
          <w:divsChild>
            <w:div w:id="719596846">
              <w:marLeft w:val="0"/>
              <w:marRight w:val="0"/>
              <w:marTop w:val="0"/>
              <w:marBottom w:val="0"/>
              <w:divBdr>
                <w:top w:val="none" w:sz="0" w:space="0" w:color="auto"/>
                <w:left w:val="none" w:sz="0" w:space="0" w:color="auto"/>
                <w:bottom w:val="none" w:sz="0" w:space="0" w:color="auto"/>
                <w:right w:val="none" w:sz="0" w:space="0" w:color="auto"/>
              </w:divBdr>
            </w:div>
          </w:divsChild>
        </w:div>
        <w:div w:id="1920214859">
          <w:marLeft w:val="0"/>
          <w:marRight w:val="0"/>
          <w:marTop w:val="0"/>
          <w:marBottom w:val="0"/>
          <w:divBdr>
            <w:top w:val="none" w:sz="0" w:space="0" w:color="auto"/>
            <w:left w:val="none" w:sz="0" w:space="0" w:color="auto"/>
            <w:bottom w:val="none" w:sz="0" w:space="0" w:color="auto"/>
            <w:right w:val="none" w:sz="0" w:space="0" w:color="auto"/>
          </w:divBdr>
          <w:divsChild>
            <w:div w:id="1336762254">
              <w:marLeft w:val="0"/>
              <w:marRight w:val="0"/>
              <w:marTop w:val="0"/>
              <w:marBottom w:val="0"/>
              <w:divBdr>
                <w:top w:val="none" w:sz="0" w:space="0" w:color="auto"/>
                <w:left w:val="none" w:sz="0" w:space="0" w:color="auto"/>
                <w:bottom w:val="none" w:sz="0" w:space="0" w:color="auto"/>
                <w:right w:val="none" w:sz="0" w:space="0" w:color="auto"/>
              </w:divBdr>
            </w:div>
          </w:divsChild>
        </w:div>
        <w:div w:id="1114522093">
          <w:marLeft w:val="0"/>
          <w:marRight w:val="0"/>
          <w:marTop w:val="0"/>
          <w:marBottom w:val="0"/>
          <w:divBdr>
            <w:top w:val="none" w:sz="0" w:space="0" w:color="auto"/>
            <w:left w:val="none" w:sz="0" w:space="0" w:color="auto"/>
            <w:bottom w:val="none" w:sz="0" w:space="0" w:color="auto"/>
            <w:right w:val="none" w:sz="0" w:space="0" w:color="auto"/>
          </w:divBdr>
          <w:divsChild>
            <w:div w:id="208614892">
              <w:marLeft w:val="0"/>
              <w:marRight w:val="0"/>
              <w:marTop w:val="0"/>
              <w:marBottom w:val="0"/>
              <w:divBdr>
                <w:top w:val="none" w:sz="0" w:space="0" w:color="auto"/>
                <w:left w:val="none" w:sz="0" w:space="0" w:color="auto"/>
                <w:bottom w:val="none" w:sz="0" w:space="0" w:color="auto"/>
                <w:right w:val="none" w:sz="0" w:space="0" w:color="auto"/>
              </w:divBdr>
            </w:div>
          </w:divsChild>
        </w:div>
        <w:div w:id="953705128">
          <w:marLeft w:val="0"/>
          <w:marRight w:val="0"/>
          <w:marTop w:val="0"/>
          <w:marBottom w:val="0"/>
          <w:divBdr>
            <w:top w:val="none" w:sz="0" w:space="0" w:color="auto"/>
            <w:left w:val="none" w:sz="0" w:space="0" w:color="auto"/>
            <w:bottom w:val="none" w:sz="0" w:space="0" w:color="auto"/>
            <w:right w:val="none" w:sz="0" w:space="0" w:color="auto"/>
          </w:divBdr>
          <w:divsChild>
            <w:div w:id="709573624">
              <w:marLeft w:val="0"/>
              <w:marRight w:val="0"/>
              <w:marTop w:val="0"/>
              <w:marBottom w:val="0"/>
              <w:divBdr>
                <w:top w:val="none" w:sz="0" w:space="0" w:color="auto"/>
                <w:left w:val="none" w:sz="0" w:space="0" w:color="auto"/>
                <w:bottom w:val="none" w:sz="0" w:space="0" w:color="auto"/>
                <w:right w:val="none" w:sz="0" w:space="0" w:color="auto"/>
              </w:divBdr>
            </w:div>
          </w:divsChild>
        </w:div>
        <w:div w:id="50424289">
          <w:marLeft w:val="0"/>
          <w:marRight w:val="0"/>
          <w:marTop w:val="0"/>
          <w:marBottom w:val="0"/>
          <w:divBdr>
            <w:top w:val="none" w:sz="0" w:space="0" w:color="auto"/>
            <w:left w:val="none" w:sz="0" w:space="0" w:color="auto"/>
            <w:bottom w:val="none" w:sz="0" w:space="0" w:color="auto"/>
            <w:right w:val="none" w:sz="0" w:space="0" w:color="auto"/>
          </w:divBdr>
          <w:divsChild>
            <w:div w:id="2108498676">
              <w:marLeft w:val="0"/>
              <w:marRight w:val="0"/>
              <w:marTop w:val="0"/>
              <w:marBottom w:val="0"/>
              <w:divBdr>
                <w:top w:val="none" w:sz="0" w:space="0" w:color="auto"/>
                <w:left w:val="none" w:sz="0" w:space="0" w:color="auto"/>
                <w:bottom w:val="none" w:sz="0" w:space="0" w:color="auto"/>
                <w:right w:val="none" w:sz="0" w:space="0" w:color="auto"/>
              </w:divBdr>
            </w:div>
          </w:divsChild>
        </w:div>
        <w:div w:id="834300884">
          <w:marLeft w:val="0"/>
          <w:marRight w:val="0"/>
          <w:marTop w:val="0"/>
          <w:marBottom w:val="0"/>
          <w:divBdr>
            <w:top w:val="none" w:sz="0" w:space="0" w:color="auto"/>
            <w:left w:val="none" w:sz="0" w:space="0" w:color="auto"/>
            <w:bottom w:val="none" w:sz="0" w:space="0" w:color="auto"/>
            <w:right w:val="none" w:sz="0" w:space="0" w:color="auto"/>
          </w:divBdr>
          <w:divsChild>
            <w:div w:id="384717646">
              <w:marLeft w:val="0"/>
              <w:marRight w:val="0"/>
              <w:marTop w:val="0"/>
              <w:marBottom w:val="0"/>
              <w:divBdr>
                <w:top w:val="none" w:sz="0" w:space="0" w:color="auto"/>
                <w:left w:val="none" w:sz="0" w:space="0" w:color="auto"/>
                <w:bottom w:val="none" w:sz="0" w:space="0" w:color="auto"/>
                <w:right w:val="none" w:sz="0" w:space="0" w:color="auto"/>
              </w:divBdr>
            </w:div>
            <w:div w:id="162554159">
              <w:marLeft w:val="0"/>
              <w:marRight w:val="0"/>
              <w:marTop w:val="0"/>
              <w:marBottom w:val="0"/>
              <w:divBdr>
                <w:top w:val="none" w:sz="0" w:space="0" w:color="auto"/>
                <w:left w:val="none" w:sz="0" w:space="0" w:color="auto"/>
                <w:bottom w:val="none" w:sz="0" w:space="0" w:color="auto"/>
                <w:right w:val="none" w:sz="0" w:space="0" w:color="auto"/>
              </w:divBdr>
            </w:div>
            <w:div w:id="2102095477">
              <w:marLeft w:val="0"/>
              <w:marRight w:val="0"/>
              <w:marTop w:val="0"/>
              <w:marBottom w:val="0"/>
              <w:divBdr>
                <w:top w:val="none" w:sz="0" w:space="0" w:color="auto"/>
                <w:left w:val="none" w:sz="0" w:space="0" w:color="auto"/>
                <w:bottom w:val="none" w:sz="0" w:space="0" w:color="auto"/>
                <w:right w:val="none" w:sz="0" w:space="0" w:color="auto"/>
              </w:divBdr>
            </w:div>
            <w:div w:id="437407060">
              <w:marLeft w:val="0"/>
              <w:marRight w:val="0"/>
              <w:marTop w:val="0"/>
              <w:marBottom w:val="0"/>
              <w:divBdr>
                <w:top w:val="none" w:sz="0" w:space="0" w:color="auto"/>
                <w:left w:val="none" w:sz="0" w:space="0" w:color="auto"/>
                <w:bottom w:val="none" w:sz="0" w:space="0" w:color="auto"/>
                <w:right w:val="none" w:sz="0" w:space="0" w:color="auto"/>
              </w:divBdr>
            </w:div>
            <w:div w:id="4976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Health-Plans/MedicareAdvtgSpecRateStats/Announcements-and-Documents.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4A80BC210414E8F6CBEDA567283E5" ma:contentTypeVersion="5" ma:contentTypeDescription="Create a new document." ma:contentTypeScope="" ma:versionID="35fffd0b5aa9dd0d85efda5b32e597b3">
  <xsd:schema xmlns:xsd="http://www.w3.org/2001/XMLSchema" xmlns:xs="http://www.w3.org/2001/XMLSchema" xmlns:p="http://schemas.microsoft.com/office/2006/metadata/properties" xmlns:ns3="8c9e9101-2e50-4636-88d5-0ac87f9452cf" xmlns:ns4="0e8daabe-fb53-4bc4-a5d2-2b2e9642ad1f" targetNamespace="http://schemas.microsoft.com/office/2006/metadata/properties" ma:root="true" ma:fieldsID="979f83200d3f52f94a90675dc4f37da9" ns3:_="" ns4:_="">
    <xsd:import namespace="8c9e9101-2e50-4636-88d5-0ac87f9452cf"/>
    <xsd:import namespace="0e8daabe-fb53-4bc4-a5d2-2b2e9642ad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e9101-2e50-4636-88d5-0ac87f945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daabe-fb53-4bc4-a5d2-2b2e9642ad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BF086-04E9-49A5-8B8F-E445E89DEA1C}">
  <ds:schemaRefs>
    <ds:schemaRef ds:uri="http://schemas.microsoft.com/sharepoint/v3/contenttype/forms"/>
  </ds:schemaRefs>
</ds:datastoreItem>
</file>

<file path=customXml/itemProps2.xml><?xml version="1.0" encoding="utf-8"?>
<ds:datastoreItem xmlns:ds="http://schemas.openxmlformats.org/officeDocument/2006/customXml" ds:itemID="{8C3A66F2-E737-493B-AED2-DF66DC23F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e9101-2e50-4636-88d5-0ac87f9452cf"/>
    <ds:schemaRef ds:uri="0e8daabe-fb53-4bc4-a5d2-2b2e9642a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B77AB-1281-4B0D-8EFF-A061E928FD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EC84E-C6D0-4DC9-A3A4-2605EEC6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Janet</dc:creator>
  <cp:keywords/>
  <dc:description/>
  <cp:lastModifiedBy>Tewksbury, Sarah</cp:lastModifiedBy>
  <cp:revision>5</cp:revision>
  <cp:lastPrinted>2019-08-28T17:49:00Z</cp:lastPrinted>
  <dcterms:created xsi:type="dcterms:W3CDTF">2020-06-02T18:39:00Z</dcterms:created>
  <dcterms:modified xsi:type="dcterms:W3CDTF">2020-06-02T19:02:00Z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0x010100C8A4A80BC210414E8F6CBEDA567283E5</vt:lpwstr>
  </property>
</Properties>
</file>